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outlineLvl w:val="9"/>
        <w:rPr>
          <w:rFonts w:ascii="方正小标宋简体" w:eastAsia="方正小标宋简体" w:cs="方正小标宋简体" w:hAnsi="方正小标宋简体" w:hint="eastAsia"/>
          <w:sz w:val="44"/>
          <w:szCs w:val="44"/>
        </w:rPr>
      </w:pPr>
      <w:r>
        <w:rPr>
          <w:rFonts w:ascii="方正小标宋简体" w:eastAsia="方正小标宋简体" w:cs="方正小标宋简体" w:hAnsi="方正小标宋简体" w:hint="eastAsia"/>
          <w:sz w:val="44"/>
          <w:szCs w:val="44"/>
          <w:lang w:eastAsia="zh-CN"/>
        </w:rPr>
        <w:t>长沙市</w:t>
      </w:r>
      <w:r>
        <w:rPr>
          <w:rFonts w:ascii="方正小标宋简体" w:eastAsia="方正小标宋简体" w:cs="方正小标宋简体" w:hAnsi="方正小标宋简体" w:hint="eastAsia"/>
          <w:sz w:val="44"/>
          <w:szCs w:val="44"/>
        </w:rPr>
        <w:t>望城区接待服务中心</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outlineLvl w:val="9"/>
        <w:rPr>
          <w:rFonts w:ascii="方正小标宋简体" w:eastAsia="方正小标宋简体" w:cs="方正小标宋简体" w:hAnsi="方正小标宋简体" w:hint="eastAsia"/>
          <w:sz w:val="44"/>
          <w:szCs w:val="44"/>
          <w:lang w:eastAsia="zh-CN"/>
        </w:rPr>
      </w:pPr>
      <w:r>
        <w:rPr>
          <w:rFonts w:ascii="方正小标宋简体" w:eastAsia="方正小标宋简体" w:cs="方正小标宋简体" w:hAnsi="方正小标宋简体" w:hint="eastAsia"/>
          <w:sz w:val="44"/>
          <w:szCs w:val="44"/>
          <w:lang w:eastAsia="zh-CN"/>
        </w:rPr>
        <w:t>202</w:t>
      </w:r>
      <w:r>
        <w:rPr>
          <w:rFonts w:ascii="方正小标宋简体" w:eastAsia="方正小标宋简体" w:cs="方正小标宋简体" w:hAnsi="方正小标宋简体" w:hint="eastAsia"/>
          <w:sz w:val="44"/>
          <w:szCs w:val="44"/>
          <w:lang w:val="en-US" w:eastAsia="zh-CN"/>
        </w:rPr>
        <w:t>3</w:t>
      </w:r>
      <w:r>
        <w:rPr>
          <w:rFonts w:ascii="方正小标宋简体" w:eastAsia="方正小标宋简体" w:cs="方正小标宋简体" w:hAnsi="方正小标宋简体" w:hint="eastAsia"/>
          <w:sz w:val="44"/>
          <w:szCs w:val="44"/>
          <w:lang w:eastAsia="zh-CN"/>
        </w:rPr>
        <w:t>年度部门决算分析报告</w:t>
      </w:r>
    </w:p>
    <w:p>
      <w:pPr>
        <w:snapToGrid w:val="0"/>
        <w:spacing w:line="520" w:lineRule="exact"/>
        <w:ind w:firstLineChars="200" w:firstLine="640"/>
        <w:rPr>
          <w:rFonts w:ascii="黑体" w:eastAsia="黑体" w:cs="黑体" w:hAnsi="黑体" w:hint="eastAsia"/>
        </w:rPr>
      </w:pPr>
      <w:bookmarkStart w:id="0" w:name="YS060101"/>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黑体" w:eastAsia="黑体" w:hAnsi="黑体"/>
        </w:rPr>
      </w:pPr>
      <w:r>
        <w:rPr>
          <w:rFonts w:ascii="黑体" w:eastAsia="黑体" w:cs="黑体" w:hAnsi="黑体" w:hint="eastAsia"/>
        </w:rPr>
        <w:t>一、部门情况</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outlineLvl w:val="9"/>
        <w:rPr>
          <w:rFonts w:ascii="楷体_GB2312" w:eastAsia="楷体_GB2312" w:hAnsi="仿宋"/>
          <w:b w:val="0"/>
          <w:bCs w:val="0"/>
        </w:rPr>
      </w:pPr>
      <w:bookmarkEnd w:id="0"/>
      <w:r>
        <w:rPr>
          <w:rFonts w:ascii="楷体_GB2312" w:eastAsia="楷体_GB2312" w:cs="楷体_GB2312" w:hAnsi="仿宋" w:hint="eastAsia"/>
          <w:b w:val="0"/>
          <w:bCs w:val="0"/>
        </w:rPr>
        <w:t>（一）基本情况</w:t>
      </w:r>
    </w:p>
    <w:p>
      <w:pPr>
        <w:keepNext w:val="0"/>
        <w:keepLines w:val="0"/>
        <w:pageBreakBefore w:val="0"/>
        <w:widowControl w:val="0"/>
        <w:tabs>
          <w:tab w:val="left" w:pos="180"/>
        </w:tabs>
        <w:kinsoku/>
        <w:wordWrap/>
        <w:overflowPunct/>
        <w:topLinePunct w:val="0"/>
        <w:autoSpaceDE/>
        <w:autoSpaceDN/>
        <w:bidi w:val="0"/>
        <w:adjustRightInd/>
        <w:snapToGrid w:val="0"/>
        <w:spacing w:line="600" w:lineRule="exact"/>
        <w:ind w:firstLineChars="200" w:firstLine="640"/>
        <w:jc w:val="left"/>
        <w:textAlignment w:val="auto"/>
        <w:outlineLvl w:val="9"/>
        <w:rPr>
          <w:rFonts w:ascii="仿宋_GB2312" w:eastAsia="仿宋_GB2312" w:cs="仿宋_GB2312" w:hAnsi="仿宋_GB2312" w:hint="eastAsia"/>
          <w:color w:val="auto"/>
        </w:rPr>
      </w:pPr>
      <w:r>
        <w:rPr>
          <w:rFonts w:ascii="仿宋_GB2312" w:eastAsia="仿宋_GB2312" w:cs="仿宋_GB2312" w:hAnsi="仿宋_GB2312" w:hint="eastAsia"/>
          <w:b/>
          <w:bCs/>
        </w:rPr>
        <w:t>1．主要职能</w:t>
      </w:r>
      <w:r>
        <w:rPr>
          <w:rFonts w:ascii="仿宋_GB2312" w:eastAsia="仿宋_GB2312" w:cs="仿宋_GB2312" w:hAnsi="仿宋_GB2312" w:hint="eastAsia"/>
          <w:b/>
          <w:bCs/>
          <w:lang w:eastAsia="zh-CN"/>
        </w:rPr>
        <w:t>：</w:t>
      </w:r>
      <w:r>
        <w:rPr>
          <w:rFonts w:ascii="仿宋_GB2312" w:eastAsia="仿宋_GB2312" w:cs="仿宋_GB2312" w:hAnsi="仿宋_GB2312" w:hint="eastAsia"/>
        </w:rPr>
        <w:t>管理区本级和指导各街镇和各区直单位国内公务接待工作，具体为:</w:t>
      </w:r>
      <w:r>
        <w:rPr>
          <w:rFonts w:ascii="仿宋_GB2312" w:eastAsia="仿宋_GB2312" w:cs="仿宋_GB2312" w:hAnsi="仿宋_GB2312" w:hint="eastAsia"/>
          <w:color w:val="auto"/>
        </w:rPr>
        <w:t>负责副省级及以上领导来区公务活动的接待工作；负责市委、市人大、市政府、市政协主要领导来区公务活动的接待工作；负责区外副县级及以上领导带团来区公务活动的接待工作；协助参与全区一类会议、区委区政府重大活动的后勤接待工作；指导各街镇和各区直单位的重要公务接待工作。</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jc w:val="left"/>
        <w:textAlignment w:val="auto"/>
        <w:outlineLvl w:val="9"/>
        <w:rPr>
          <w:rFonts w:ascii="仿宋_GB2312" w:eastAsia="仿宋_GB2312" w:cs="仿宋_GB2312" w:hAnsi="仿宋_GB2312" w:hint="eastAsia"/>
          <w:color w:val="auto"/>
        </w:rPr>
      </w:pPr>
      <w:r>
        <w:rPr>
          <w:rFonts w:ascii="仿宋_GB2312" w:eastAsia="仿宋_GB2312" w:cs="仿宋_GB2312" w:hAnsi="仿宋_GB2312" w:hint="eastAsia"/>
          <w:b/>
          <w:bCs/>
          <w:color w:val="auto"/>
        </w:rPr>
        <w:t>2．机构情况</w:t>
      </w:r>
      <w:r>
        <w:rPr>
          <w:rFonts w:ascii="仿宋_GB2312" w:eastAsia="仿宋_GB2312" w:cs="仿宋_GB2312" w:hAnsi="仿宋_GB2312" w:hint="eastAsia"/>
          <w:b/>
          <w:bCs/>
          <w:color w:val="auto"/>
          <w:lang w:eastAsia="zh-CN"/>
        </w:rPr>
        <w:t>：</w:t>
      </w:r>
      <w:r>
        <w:rPr>
          <w:rFonts w:ascii="仿宋_GB2312" w:eastAsia="仿宋_GB2312" w:cs="仿宋_GB2312" w:hAnsi="仿宋_GB2312" w:hint="eastAsia"/>
          <w:color w:val="auto"/>
        </w:rPr>
        <w:t>是区委直属公益类事业单位，为正科级，无内设机构。</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jc w:val="left"/>
        <w:textAlignment w:val="auto"/>
        <w:outlineLvl w:val="9"/>
        <w:rPr>
          <w:rFonts w:ascii="仿宋_GB2312" w:eastAsia="仿宋_GB2312" w:cs="仿宋_GB2312" w:hAnsi="仿宋_GB2312" w:hint="eastAsia"/>
          <w:color w:val="auto"/>
          <w:lang w:val="en-US" w:eastAsia="zh-CN"/>
        </w:rPr>
      </w:pPr>
      <w:r>
        <w:rPr>
          <w:rFonts w:ascii="仿宋_GB2312" w:eastAsia="仿宋_GB2312" w:cs="仿宋_GB2312" w:hAnsi="仿宋_GB2312" w:hint="eastAsia"/>
          <w:b/>
          <w:bCs/>
          <w:color w:val="auto"/>
        </w:rPr>
        <w:t>3．人员情况，包括当年变动情况及原因</w:t>
      </w:r>
      <w:r>
        <w:rPr>
          <w:rFonts w:ascii="仿宋_GB2312" w:eastAsia="仿宋_GB2312" w:cs="仿宋_GB2312" w:hAnsi="仿宋_GB2312" w:hint="eastAsia"/>
          <w:b/>
          <w:bCs/>
          <w:color w:val="auto"/>
          <w:lang w:eastAsia="zh-CN"/>
        </w:rPr>
        <w:t>：</w:t>
      </w:r>
      <w:r>
        <w:rPr>
          <w:rFonts w:ascii="仿宋_GB2312" w:eastAsia="仿宋_GB2312" w:cs="仿宋_GB2312" w:hAnsi="仿宋_GB2312" w:hint="eastAsia"/>
          <w:color w:val="auto"/>
        </w:rPr>
        <w:t>机构改革后核事业编制6名，设主任1名（乡科级正职），副主任2名（乡科级副职）。现有人员为主任1名，副主任</w:t>
      </w:r>
      <w:r>
        <w:rPr>
          <w:rFonts w:ascii="仿宋_GB2312" w:eastAsia="仿宋_GB2312" w:cs="仿宋_GB2312" w:hAnsi="仿宋_GB2312" w:hint="eastAsia"/>
          <w:color w:val="auto"/>
          <w:lang w:val="en-US" w:eastAsia="zh-CN"/>
        </w:rPr>
        <w:t>2</w:t>
      </w:r>
      <w:r>
        <w:rPr>
          <w:rFonts w:ascii="仿宋_GB2312" w:eastAsia="仿宋_GB2312" w:cs="仿宋_GB2312" w:hAnsi="仿宋_GB2312" w:hint="eastAsia"/>
          <w:color w:val="auto"/>
        </w:rPr>
        <w:t>名，科员1名</w:t>
      </w:r>
      <w:r>
        <w:rPr>
          <w:rFonts w:ascii="仿宋_GB2312" w:eastAsia="仿宋_GB2312" w:cs="仿宋_GB2312" w:hAnsi="仿宋_GB2312" w:hint="eastAsia"/>
          <w:color w:val="auto"/>
          <w:lang w:eastAsia="zh-CN"/>
        </w:rPr>
        <w:t>，其中，</w:t>
      </w:r>
      <w:r>
        <w:rPr>
          <w:rFonts w:ascii="仿宋_GB2312" w:eastAsia="仿宋_GB2312" w:cs="仿宋_GB2312" w:hAnsi="仿宋_GB2312" w:hint="eastAsia"/>
          <w:color w:val="auto"/>
          <w:lang w:val="en-US" w:eastAsia="zh-CN"/>
        </w:rPr>
        <w:t>2023年经组织</w:t>
      </w:r>
      <w:r>
        <w:rPr>
          <w:rFonts w:ascii="仿宋_GB2312" w:eastAsia="仿宋_GB2312" w:cs="仿宋_GB2312" w:hAnsi="仿宋_GB2312"/>
          <w:color w:val="auto"/>
          <w:lang w:val="en-US" w:eastAsia="zh-CN"/>
        </w:rPr>
        <w:t>研究</w:t>
      </w:r>
      <w:r>
        <w:rPr>
          <w:rFonts w:ascii="仿宋_GB2312" w:eastAsia="仿宋_GB2312" w:cs="仿宋_GB2312" w:hAnsi="仿宋_GB2312" w:hint="eastAsia"/>
          <w:color w:val="auto"/>
          <w:lang w:val="en-US" w:eastAsia="zh-CN"/>
        </w:rPr>
        <w:t>，</w:t>
      </w:r>
      <w:r>
        <w:rPr>
          <w:rFonts w:ascii="仿宋_GB2312" w:eastAsia="仿宋_GB2312" w:cs="仿宋_GB2312" w:hAnsi="仿宋_GB2312"/>
          <w:color w:val="auto"/>
          <w:lang w:val="en-US" w:eastAsia="zh-CN"/>
        </w:rPr>
        <w:t>免去</w:t>
      </w:r>
      <w:r>
        <w:rPr>
          <w:rFonts w:ascii="仿宋_GB2312" w:eastAsia="仿宋_GB2312" w:cs="仿宋_GB2312" w:hAnsi="仿宋_GB2312" w:hint="eastAsia"/>
          <w:color w:val="auto"/>
          <w:lang w:val="en-US" w:eastAsia="zh-CN"/>
        </w:rPr>
        <w:t>主任1名、</w:t>
      </w:r>
      <w:r>
        <w:rPr>
          <w:rFonts w:ascii="仿宋_GB2312" w:eastAsia="仿宋_GB2312" w:cs="仿宋_GB2312" w:hAnsi="仿宋_GB2312"/>
          <w:color w:val="auto"/>
          <w:lang w:val="en-US" w:eastAsia="zh-CN"/>
        </w:rPr>
        <w:t>副主任1名，调出</w:t>
      </w:r>
      <w:r>
        <w:rPr>
          <w:rFonts w:ascii="仿宋_GB2312" w:eastAsia="仿宋_GB2312" w:cs="仿宋_GB2312" w:hAnsi="仿宋_GB2312" w:hint="eastAsia"/>
          <w:color w:val="auto"/>
          <w:lang w:val="en-US" w:eastAsia="zh-CN"/>
        </w:rPr>
        <w:t>科员1名</w:t>
      </w:r>
      <w:r>
        <w:rPr>
          <w:rFonts w:ascii="仿宋_GB2312" w:eastAsia="仿宋_GB2312" w:cs="仿宋_GB2312" w:hAnsi="仿宋_GB2312"/>
          <w:color w:val="auto"/>
          <w:lang w:val="en-US" w:eastAsia="zh-CN"/>
        </w:rPr>
        <w:t>；</w:t>
      </w:r>
      <w:r>
        <w:rPr>
          <w:rFonts w:ascii="仿宋_GB2312" w:eastAsia="仿宋_GB2312" w:cs="仿宋_GB2312" w:hAnsi="仿宋_GB2312" w:hint="eastAsia"/>
          <w:color w:val="auto"/>
          <w:lang w:val="en-US" w:eastAsia="zh-CN"/>
        </w:rPr>
        <w:t>调入主任1名、副主任1名</w:t>
      </w:r>
      <w:r>
        <w:rPr>
          <w:rFonts w:ascii="仿宋_GB2312" w:eastAsia="仿宋_GB2312" w:cs="仿宋_GB2312" w:hAnsi="仿宋_GB2312"/>
          <w:color w:val="auto"/>
          <w:lang w:val="en-US" w:eastAsia="zh-CN"/>
        </w:rPr>
        <w:t>，考入</w:t>
      </w:r>
      <w:r>
        <w:rPr>
          <w:rFonts w:ascii="仿宋_GB2312" w:eastAsia="仿宋_GB2312" w:cs="仿宋_GB2312" w:hAnsi="仿宋_GB2312" w:hint="eastAsia"/>
          <w:color w:val="auto"/>
          <w:lang w:val="en-US" w:eastAsia="zh-CN"/>
        </w:rPr>
        <w:t>科员1名。</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outlineLvl w:val="9"/>
        <w:rPr>
          <w:rFonts w:ascii="楷体_GB2312" w:eastAsia="楷体_GB2312" w:cs="楷体_GB2312" w:hAnsi="仿宋" w:hint="eastAsia"/>
          <w:b w:val="0"/>
          <w:bCs w:val="0"/>
          <w:color w:val="auto"/>
        </w:rPr>
      </w:pPr>
      <w:r>
        <w:rPr>
          <w:rFonts w:ascii="楷体_GB2312" w:eastAsia="楷体_GB2312" w:cs="楷体_GB2312" w:hAnsi="仿宋" w:hint="eastAsia"/>
          <w:b w:val="0"/>
          <w:bCs w:val="0"/>
          <w:color w:val="auto"/>
        </w:rPr>
        <w:t>（二）当年取得的主要事业成效</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黑体" w:eastAsia="黑体" w:cs="黑体" w:hAnsi="黑体" w:hint="eastAsia"/>
          <w:sz w:val="32"/>
          <w:szCs w:val="32"/>
          <w:lang w:val="en-US" w:eastAsia="zh-CN"/>
        </w:rPr>
      </w:pPr>
      <w:bookmarkStart w:id="1" w:name="YS060102"/>
      <w:r>
        <w:rPr>
          <w:rFonts w:ascii="黑体" w:eastAsia="黑体" w:cs="黑体" w:hAnsi="黑体" w:hint="eastAsia"/>
          <w:sz w:val="32"/>
          <w:szCs w:val="32"/>
          <w:lang w:val="en-US" w:eastAsia="zh-CN"/>
        </w:rPr>
        <w:t>1.三位一体，精心做好“服务”文章</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仿宋_GB2312" w:eastAsia="仿宋_GB2312" w:cs="仿宋_GB2312" w:hAnsi="仿宋_GB2312" w:hint="eastAsia"/>
          <w:sz w:val="32"/>
          <w:szCs w:val="32"/>
          <w:lang w:val="en-US" w:eastAsia="zh-CN"/>
        </w:rPr>
      </w:pPr>
      <w:r>
        <w:rPr>
          <w:rFonts w:ascii="仿宋_GB2312" w:eastAsia="仿宋_GB2312" w:cs="仿宋_GB2312" w:hAnsi="仿宋_GB2312" w:hint="eastAsia"/>
          <w:sz w:val="32"/>
          <w:szCs w:val="32"/>
          <w:lang w:val="en-US" w:eastAsia="zh-CN"/>
        </w:rPr>
        <w:t>2023年，既是全面贯彻党的二十大精神的开局之年，也是三年新冠疫情防控转段后经济恢复发展的一年。面对新的时代形势、新的部署安排、新的工作基调，我们充分认识到，接待工作是全区发展环环相扣中的重要一环。在全区各级部门紧密联动的工作格局下，我们始终牢固树立“一盘棋”思想，共谋“算大账”，着眼大局、服务大局，注重协同、强化联动，在区委、区政府的指导统筹下，各乡镇街道及区级有关部门的支持配合下，认真细致地做好每一次接待工作，圆满完成了各项任务。今年共完成接待</w:t>
      </w:r>
      <w:r>
        <w:rPr>
          <w:rFonts w:ascii="仿宋_GB2312" w:eastAsia="仿宋_GB2312" w:cs="仿宋_GB2312" w:hAnsi="仿宋_GB2312"/>
          <w:sz w:val="32"/>
          <w:szCs w:val="32"/>
          <w:lang w:eastAsia="zh-CN"/>
        </w:rPr>
        <w:t>151</w:t>
      </w:r>
      <w:r>
        <w:rPr>
          <w:rFonts w:ascii="仿宋_GB2312" w:eastAsia="仿宋_GB2312" w:cs="仿宋_GB2312" w:hAnsi="仿宋_GB2312" w:hint="eastAsia"/>
          <w:sz w:val="32"/>
          <w:szCs w:val="32"/>
          <w:lang w:val="en-US" w:eastAsia="zh-CN"/>
        </w:rPr>
        <w:t>批次，</w:t>
      </w:r>
      <w:r>
        <w:rPr>
          <w:rFonts w:ascii="仿宋_GB2312" w:eastAsia="仿宋_GB2312" w:cs="仿宋_GB2312" w:hAnsi="仿宋_GB2312"/>
          <w:sz w:val="32"/>
          <w:szCs w:val="32"/>
          <w:lang w:eastAsia="zh-CN"/>
        </w:rPr>
        <w:t>7070</w:t>
      </w:r>
      <w:r>
        <w:rPr>
          <w:rFonts w:ascii="仿宋_GB2312" w:eastAsia="仿宋_GB2312" w:cs="仿宋_GB2312" w:hAnsi="仿宋_GB2312" w:hint="eastAsia"/>
          <w:sz w:val="32"/>
          <w:szCs w:val="32"/>
          <w:lang w:val="en-US" w:eastAsia="zh-CN"/>
        </w:rPr>
        <w:t>人次(含随行人员)。</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仿宋_GB2312" w:eastAsia="仿宋_GB2312" w:cs="仿宋_GB2312" w:hAnsi="仿宋_GB2312" w:hint="eastAsia"/>
          <w:sz w:val="32"/>
          <w:szCs w:val="32"/>
          <w:lang w:val="en-US" w:eastAsia="zh-CN"/>
        </w:rPr>
      </w:pPr>
      <w:r>
        <w:rPr>
          <w:rFonts w:ascii="楷体_GB2312" w:eastAsia="楷体_GB2312" w:cs="楷体_GB2312" w:hAnsi="楷体_GB2312" w:hint="eastAsia"/>
          <w:b w:val="0"/>
          <w:bCs w:val="0"/>
          <w:sz w:val="32"/>
          <w:szCs w:val="32"/>
          <w:lang w:val="en-US" w:eastAsia="zh-CN"/>
        </w:rPr>
        <w:t>（1）提高政治站位。</w:t>
      </w:r>
      <w:r>
        <w:rPr>
          <w:rFonts w:ascii="仿宋_GB2312" w:eastAsia="仿宋_GB2312" w:cs="仿宋_GB2312" w:hAnsi="仿宋_GB2312" w:hint="eastAsia"/>
          <w:sz w:val="32"/>
          <w:szCs w:val="32"/>
          <w:lang w:val="en-US" w:eastAsia="zh-CN"/>
        </w:rPr>
        <w:t>公务接待工作本质上是极具政治性的任务，绝非简单的迎来送往、安排食宿，而是展示经济文化的窗口，还是彰显历史底蕴的契机，也是描绘风土人情的画卷，更是推介望城形象的名片。我们站在全区的政治高度上，强化战略思维、宏观思维、大局思维，把谋事和谋势、谋当下和谋未来统一起来，充分认识到公务接待工作的战略性、全局性、长远性。2023年，我中心根据服务对象、时间节点的实际情况，设计了极具望城特色的接待服务手册、席卡、菜牌等，把好细节关，当好宣传员，从细微处入手展示、宣传、推介望城。同时，我中心注重挖掘本土特色、风土人情，加强与食堂厨师沟通交流，主打本地菜、常用时令菜、多试创新菜，充分利用乔口鲌鱼、东城辣椒、靖港香干等本土食材，不断尝试改进烹饪方式，不仅让宾客品尝到舌尖上的美味，还在潜移默化中擦亮心间望城的文化名片。</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仿宋_GB2312" w:eastAsia="仿宋_GB2312" w:cs="仿宋_GB2312" w:hAnsi="仿宋_GB2312" w:hint="eastAsia"/>
          <w:sz w:val="32"/>
          <w:szCs w:val="32"/>
          <w:lang w:val="en-US" w:eastAsia="zh-CN"/>
        </w:rPr>
      </w:pPr>
      <w:r>
        <w:rPr>
          <w:rFonts w:ascii="楷体_GB2312" w:eastAsia="楷体_GB2312" w:cs="楷体_GB2312" w:hAnsi="楷体_GB2312" w:hint="eastAsia"/>
          <w:b w:val="0"/>
          <w:bCs w:val="0"/>
          <w:sz w:val="32"/>
          <w:szCs w:val="32"/>
          <w:lang w:val="en-US" w:eastAsia="zh-CN"/>
        </w:rPr>
        <w:t>（2）明确自身定位。</w:t>
      </w:r>
      <w:r>
        <w:rPr>
          <w:rFonts w:ascii="仿宋_GB2312" w:eastAsia="仿宋_GB2312" w:cs="仿宋_GB2312" w:hAnsi="仿宋_GB2312" w:hint="eastAsia"/>
          <w:sz w:val="32"/>
          <w:szCs w:val="32"/>
          <w:lang w:val="en-US" w:eastAsia="zh-CN"/>
        </w:rPr>
        <w:t>接待服务是一项性质特殊、使命光荣的工作，我们时时刻刻坚持自身的定位，全心全意为望城的发展添砖加瓦，为擘画望城的宏伟蓝图加上浓墨重彩的一笔。我们对待各项接待任务，尤其是一些紧急、重大的接待工作，无论是“白加黑”还是“五加二”，始终怀揣着高度的责任感、强烈的使命感、适度的紧迫感，并以饱满的热情、昂扬的斗志充分投入其中，通过语言、表情、动作和细致周到服务等阐释工作的内涵，让宾客从内心感受到尊重和礼遇。</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仿宋_GB2312" w:eastAsia="仿宋_GB2312" w:cs="仿宋_GB2312" w:hAnsi="仿宋_GB2312" w:hint="eastAsia"/>
          <w:sz w:val="32"/>
          <w:szCs w:val="32"/>
          <w:lang w:val="en-US" w:eastAsia="zh-CN"/>
        </w:rPr>
      </w:pPr>
      <w:r>
        <w:rPr>
          <w:rFonts w:ascii="楷体_GB2312" w:eastAsia="楷体_GB2312" w:cs="楷体_GB2312" w:hAnsi="楷体_GB2312" w:hint="eastAsia"/>
          <w:b w:val="0"/>
          <w:bCs w:val="0"/>
          <w:sz w:val="32"/>
          <w:szCs w:val="32"/>
          <w:lang w:val="en-US" w:eastAsia="zh-CN"/>
        </w:rPr>
        <w:t>（3）拓全服务方位。</w:t>
      </w:r>
      <w:r>
        <w:rPr>
          <w:rFonts w:ascii="仿宋_GB2312" w:eastAsia="仿宋_GB2312" w:cs="仿宋_GB2312" w:hAnsi="仿宋_GB2312" w:hint="eastAsia"/>
          <w:sz w:val="32"/>
          <w:szCs w:val="32"/>
          <w:lang w:val="en-US" w:eastAsia="zh-CN"/>
        </w:rPr>
        <w:t>接待工作是一项事无巨细的工作。一方面，积极调动大家的学习积极性，要求个人积累本地经济社会发展、自然地理、风土人情、历史沿革以及基本接待礼仪等方面知识，经常与上级、同级单位进行沟通交流接待案例、分享经验，不断拓展业务知识、铸牢工作理论。另一方面，每次接待任务完成后，自觉组织开展碰头会，大家畅所欲言，既是自我反省、自我鼓励，又是相互批评、交流探讨，通过不断的总结反思，为以后的接待奠定良好的基础。正是因为参与公务接待的每一个人都代表望城的形象，每一个人的一言一行都是望城人文的折射，所以我们坚持不断深化学习、锻炼成长，将接待服务精细化、规范化、个性化，当好望城形象的展示员、经济发展的宣传员、资源产品的推销员。</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黑体" w:eastAsia="黑体" w:cs="黑体" w:hAnsi="黑体" w:hint="eastAsia"/>
          <w:sz w:val="32"/>
          <w:szCs w:val="32"/>
          <w:lang w:val="en-US" w:eastAsia="zh-CN"/>
        </w:rPr>
      </w:pPr>
      <w:r>
        <w:rPr>
          <w:rFonts w:ascii="黑体" w:eastAsia="黑体" w:cs="黑体" w:hAnsi="黑体" w:hint="eastAsia"/>
          <w:sz w:val="32"/>
          <w:szCs w:val="32"/>
          <w:lang w:val="en-US" w:eastAsia="zh-CN"/>
        </w:rPr>
        <w:t>2.服务中心，全力做好“重大”文章</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645"/>
        <w:jc w:val="both"/>
        <w:outlineLvl w:val="9"/>
        <w:rPr>
          <w:rFonts w:ascii="仿宋_GB2312" w:eastAsia="仿宋_GB2312" w:cs="仿宋_GB2312" w:hAnsi="仿宋_GB2312" w:hint="eastAsia"/>
          <w:sz w:val="32"/>
          <w:szCs w:val="32"/>
          <w:lang w:val="en-US" w:eastAsia="zh-CN"/>
        </w:rPr>
      </w:pPr>
      <w:r>
        <w:rPr>
          <w:rFonts w:ascii="仿宋_GB2312" w:eastAsia="仿宋_GB2312" w:cs="仿宋_GB2312" w:hAnsi="仿宋_GB2312" w:hint="eastAsia"/>
          <w:sz w:val="32"/>
          <w:szCs w:val="32"/>
          <w:lang w:val="en-US" w:eastAsia="zh-CN"/>
        </w:rPr>
        <w:t>2023年，在重大活动的接待服务保障中，我中心克服人手少、时间紧、任务重、变化多等困难，充分整合接待资源，与相关部门和单位协同配合，完成各项重要接待及后勤保障任务。</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仿宋_GB2312" w:eastAsia="仿宋_GB2312" w:cs="仿宋_GB2312" w:hAnsi="仿宋_GB2312" w:hint="eastAsia"/>
          <w:sz w:val="32"/>
          <w:szCs w:val="32"/>
          <w:lang w:val="en-US" w:eastAsia="zh-CN"/>
        </w:rPr>
      </w:pPr>
      <w:r>
        <w:rPr>
          <w:rFonts w:ascii="楷体_GB2312" w:eastAsia="楷体_GB2312" w:cs="楷体_GB2312" w:hAnsi="楷体_GB2312" w:hint="eastAsia"/>
          <w:sz w:val="32"/>
          <w:szCs w:val="32"/>
          <w:lang w:val="en-US" w:eastAsia="zh-CN"/>
        </w:rPr>
        <w:t>（1）用心做好“拼经济、抓发展”新春开门红暨“湘商回归”招商签约大会的接待工作。</w:t>
      </w:r>
      <w:r>
        <w:rPr>
          <w:rFonts w:ascii="仿宋_GB2312" w:eastAsia="仿宋_GB2312" w:cs="仿宋_GB2312" w:hAnsi="仿宋_GB2312" w:hint="eastAsia"/>
          <w:sz w:val="32"/>
          <w:szCs w:val="32"/>
          <w:lang w:val="en-US" w:eastAsia="zh-CN"/>
        </w:rPr>
        <w:t>招商引资是全区经济发展的关键一招，作为全区开年第一个大型招商大会，我中心联合兄弟单位，完成了总体接待方案拟定、食宿保障等工作，为大会的顺利召开提供了有力的后勤保障，受到了各位企业家的一致好评。</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仿宋_GB2312" w:eastAsia="仿宋_GB2312" w:cs="仿宋_GB2312" w:hAnsi="仿宋_GB2312" w:hint="eastAsia"/>
          <w:sz w:val="32"/>
          <w:szCs w:val="32"/>
          <w:lang w:val="en-US" w:eastAsia="zh-CN"/>
        </w:rPr>
      </w:pPr>
      <w:r>
        <w:rPr>
          <w:rFonts w:ascii="楷体_GB2312" w:eastAsia="楷体_GB2312" w:cs="楷体_GB2312" w:hAnsi="楷体_GB2312" w:hint="eastAsia"/>
          <w:sz w:val="32"/>
          <w:szCs w:val="32"/>
          <w:lang w:val="en-US" w:eastAsia="zh-CN"/>
        </w:rPr>
        <w:t>（2）全力做好“2023雷锋精神论坛”的接待工作。</w:t>
      </w:r>
      <w:r>
        <w:rPr>
          <w:rFonts w:ascii="仿宋_GB2312" w:eastAsia="仿宋_GB2312" w:cs="仿宋_GB2312" w:hAnsi="仿宋_GB2312" w:hint="eastAsia"/>
          <w:sz w:val="32"/>
          <w:szCs w:val="32"/>
          <w:lang w:val="en-US" w:eastAsia="zh-CN"/>
        </w:rPr>
        <w:t>今年3月，“2023雷锋精神论坛”在望城召开，作为雷锋故乡，传承宣扬雷锋精神责无旁贷。我中心积极与上级单位对接，并配合相关单位进行布置活动场地、编排活动流程、熟悉行程路线、敲定食宿安排等一系列工作，通过周密的准备、精心的布置，最终我们的服务得到了各位来宾的充分肯定。</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仿宋_GB2312" w:eastAsia="仿宋_GB2312" w:cs="仿宋_GB2312" w:hAnsi="仿宋_GB2312" w:hint="eastAsia"/>
          <w:sz w:val="32"/>
          <w:szCs w:val="32"/>
          <w:lang w:val="en-US" w:eastAsia="zh-CN"/>
        </w:rPr>
      </w:pPr>
      <w:r>
        <w:rPr>
          <w:rFonts w:ascii="楷体_GB2312" w:eastAsia="楷体_GB2312" w:cs="楷体_GB2312" w:hAnsi="楷体_GB2312" w:hint="eastAsia"/>
          <w:sz w:val="32"/>
          <w:szCs w:val="32"/>
          <w:lang w:val="en-US" w:eastAsia="zh-CN"/>
        </w:rPr>
        <w:t>（3）认真做好践行“浦江经验”领导干部下沉望城接访日活动的后勤保障工作。</w:t>
      </w:r>
      <w:r>
        <w:rPr>
          <w:rFonts w:ascii="仿宋_GB2312" w:eastAsia="仿宋_GB2312" w:cs="仿宋_GB2312" w:hAnsi="仿宋_GB2312" w:hint="eastAsia"/>
          <w:sz w:val="32"/>
          <w:szCs w:val="32"/>
          <w:lang w:val="en-US" w:eastAsia="zh-CN"/>
        </w:rPr>
        <w:t>7月下旬，我市今年首个信访接待日在望城召开。因活动规模庞大，我中心提前一周着手准备，包括布置接访室、候访室、休息室、调度室、食堂，以及准备各项物资、安排用餐用水等系列工作，活动当天我中心紧密调度、多方协调、有条不紊，保障了包含省市领导、来访群众、工作人员等3000余人的用水用餐，确保接访工作的顺利开展。</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黑体" w:eastAsia="黑体" w:cs="黑体" w:hAnsi="黑体" w:hint="eastAsia"/>
          <w:sz w:val="32"/>
          <w:szCs w:val="32"/>
          <w:lang w:val="en-US" w:eastAsia="zh-CN"/>
        </w:rPr>
      </w:pPr>
      <w:r>
        <w:rPr>
          <w:rFonts w:ascii="黑体" w:eastAsia="黑体" w:cs="黑体" w:hAnsi="黑体" w:hint="eastAsia"/>
          <w:sz w:val="32"/>
          <w:szCs w:val="32"/>
          <w:lang w:val="en-US" w:eastAsia="zh-CN"/>
        </w:rPr>
        <w:t>3.不逾底线，严格做好“规矩”文章</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jc w:val="both"/>
        <w:textAlignment w:val="auto"/>
        <w:outlineLvl w:val="9"/>
        <w:rPr>
          <w:rFonts w:ascii="仿宋_GB2312" w:eastAsia="仿宋_GB2312" w:cs="仿宋_GB2312" w:hAnsi="仿宋_GB2312" w:hint="eastAsia"/>
          <w:sz w:val="32"/>
          <w:szCs w:val="32"/>
          <w:lang w:val="en-US" w:eastAsia="zh-CN"/>
        </w:rPr>
      </w:pPr>
      <w:r>
        <w:rPr>
          <w:rFonts w:ascii="仿宋_GB2312" w:eastAsia="仿宋_GB2312" w:cs="仿宋_GB2312" w:hAnsi="仿宋_GB2312" w:hint="eastAsia"/>
          <w:sz w:val="32"/>
          <w:szCs w:val="32"/>
          <w:lang w:val="en-US" w:eastAsia="zh-CN"/>
        </w:rPr>
        <w:t>为使接待工作进一步合法合规，我中心对省市区的各项接待规定进行梳理，结合实际情况，在学习借鉴市接待中心经验做法的基础上，完善了接待呈签单及接待清单。对接待工作实行统一领导、统一管理、统一标准、统一报批程序，使我区接待工作更加规范化。</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640"/>
        <w:textAlignment w:val="auto"/>
        <w:rPr>
          <w:rFonts w:ascii="仿宋_GB2312" w:eastAsia="仿宋_GB2312" w:cs="仿宋_GB2312" w:hAnsi="仿宋_GB2312" w:hint="eastAsia"/>
          <w:b w:val="0"/>
          <w:bCs w:val="0"/>
          <w:sz w:val="32"/>
          <w:szCs w:val="32"/>
          <w:lang w:val="en-US" w:eastAsia="zh-CN"/>
        </w:rPr>
      </w:pPr>
      <w:r>
        <w:rPr>
          <w:rFonts w:ascii="楷体_GB2312" w:eastAsia="楷体_GB2312" w:cs="楷体_GB2312" w:hAnsi="楷体_GB2312" w:hint="eastAsia"/>
          <w:sz w:val="32"/>
          <w:szCs w:val="32"/>
          <w:lang w:val="en-US" w:eastAsia="zh-CN"/>
        </w:rPr>
        <w:t>（1）认真学习领会最新公务接待相关文件精神。</w:t>
      </w:r>
      <w:r>
        <w:rPr>
          <w:rFonts w:ascii="仿宋_GB2312" w:eastAsia="仿宋_GB2312" w:cs="仿宋_GB2312" w:hAnsi="仿宋_GB2312" w:hint="eastAsia"/>
          <w:b w:val="0"/>
          <w:bCs w:val="0"/>
          <w:sz w:val="32"/>
          <w:szCs w:val="32"/>
          <w:lang w:val="en-US" w:eastAsia="zh-CN"/>
        </w:rPr>
        <w:t>今年10月，中共湖南省委办公厅、湖南省人民政府办公厅公开发布了《关于实行公务接待突出问题“负面清单”管理等三项制度机制的通知》（湘办〔2023〕21号），第一时间，我中心开展内部学习研讨、自查自纠，并将文件精神对各乡镇街道、区直单位予以传达交流，将容易出现的共性问题进行强调解读，形成良好的全区学习提升氛围。</w:t>
      </w:r>
    </w:p>
    <w:p>
      <w:pPr>
        <w:keepNext w:val="0"/>
        <w:keepLines w:val="0"/>
        <w:pageBreakBefore w:val="0"/>
        <w:widowControl w:val="0"/>
        <w:kinsoku/>
        <w:wordWrap/>
        <w:overflowPunct/>
        <w:topLinePunct w:val="0"/>
        <w:autoSpaceDE/>
        <w:autoSpaceDN/>
        <w:bidi w:val="0"/>
        <w:adjustRightInd/>
        <w:snapToGrid/>
        <w:spacing w:line="240" w:lineRule="auto"/>
        <w:ind w:firstLineChars="200" w:firstLine="640"/>
        <w:textAlignment w:val="auto"/>
        <w:rPr>
          <w:rFonts w:ascii="仿宋_GB2312" w:eastAsia="仿宋_GB2312" w:cs="仿宋_GB2312" w:hAnsi="仿宋_GB2312" w:hint="eastAsia"/>
          <w:b w:val="0"/>
          <w:bCs w:val="0"/>
          <w:sz w:val="32"/>
          <w:szCs w:val="32"/>
          <w:lang w:eastAsia="zh-CN"/>
        </w:rPr>
      </w:pPr>
      <w:r>
        <w:rPr>
          <w:rFonts w:ascii="楷体_GB2312" w:eastAsia="楷体_GB2312" w:cs="楷体_GB2312" w:hAnsi="楷体_GB2312" w:hint="eastAsia"/>
          <w:sz w:val="32"/>
          <w:szCs w:val="32"/>
          <w:lang w:val="en-US" w:eastAsia="zh-CN"/>
        </w:rPr>
        <w:t>（2）严格执行接待标准、控制接待范围。</w:t>
      </w:r>
      <w:r>
        <w:rPr>
          <w:rFonts w:ascii="仿宋_GB2312" w:eastAsia="仿宋_GB2312" w:cs="仿宋_GB2312" w:hAnsi="仿宋_GB2312" w:hint="eastAsia"/>
          <w:sz w:val="32"/>
          <w:szCs w:val="32"/>
          <w:lang w:eastAsia="zh-CN"/>
        </w:rPr>
        <w:t>公务接待过程中</w:t>
      </w:r>
      <w:r>
        <w:rPr>
          <w:rFonts w:ascii="仿宋_GB2312" w:eastAsia="仿宋_GB2312" w:cs="仿宋_GB2312" w:hAnsi="仿宋_GB2312" w:hint="eastAsia"/>
          <w:b w:val="0"/>
          <w:bCs w:val="0"/>
          <w:sz w:val="32"/>
          <w:szCs w:val="32"/>
          <w:lang w:eastAsia="zh-CN"/>
        </w:rPr>
        <w:t>严格遵照相关规定，控制陪餐人数、用餐标准和出行标准，不使用高档食材，不购买高档水果，不准备礼品酒水。外出考察过程实行集中乘车，并结合实际人数选择车型，严控随行陪同车辆数量。同时加强活动前方案审核，有效杜绝了非公务活动纳入公务接待、以招商引资等名义变相安排公务接待和安排“同城接待”等问题出现。</w:t>
      </w:r>
    </w:p>
    <w:p>
      <w:pPr>
        <w:ind w:firstLineChars="200" w:firstLine="640"/>
        <w:rPr>
          <w:rFonts w:ascii="仿宋_GB2312" w:eastAsia="仿宋_GB2312" w:cs="仿宋_GB2312" w:hAnsi="仿宋_GB2312" w:hint="eastAsia"/>
          <w:b w:val="0"/>
          <w:bCs w:val="0"/>
          <w:sz w:val="32"/>
          <w:szCs w:val="32"/>
          <w:lang w:val="en-US" w:eastAsia="zh-CN"/>
        </w:rPr>
      </w:pPr>
      <w:r>
        <w:rPr>
          <w:rFonts w:ascii="楷体_GB2312" w:eastAsia="楷体_GB2312" w:cs="楷体_GB2312" w:hAnsi="楷体_GB2312" w:hint="eastAsia"/>
          <w:sz w:val="32"/>
          <w:szCs w:val="32"/>
          <w:lang w:val="en-US" w:eastAsia="zh-CN"/>
        </w:rPr>
        <w:t>（3）畅通与乡镇街道、区直单位的沟通渠道。</w:t>
      </w:r>
      <w:r>
        <w:rPr>
          <w:rFonts w:ascii="仿宋_GB2312" w:eastAsia="仿宋_GB2312" w:cs="仿宋_GB2312" w:hAnsi="仿宋_GB2312" w:hint="eastAsia"/>
          <w:sz w:val="32"/>
          <w:szCs w:val="32"/>
          <w:lang w:eastAsia="zh-CN"/>
        </w:rPr>
        <w:t>为保障全区</w:t>
      </w:r>
      <w:r>
        <w:rPr>
          <w:rFonts w:ascii="仿宋_GB2312" w:eastAsia="仿宋_GB2312" w:cs="仿宋_GB2312" w:hAnsi="仿宋_GB2312" w:hint="eastAsia"/>
          <w:b w:val="0"/>
          <w:bCs w:val="0"/>
          <w:sz w:val="32"/>
          <w:szCs w:val="32"/>
          <w:lang w:val="en-US" w:eastAsia="zh-CN"/>
        </w:rPr>
        <w:t>公务接待高水平、严要求、精服务，我中心加强与各单位的交流沟通，不仅在接待准备过程中悉心指导，对于其他单位存在的困惑疑问，也是知无不言、言无不尽，通过平时下实功夫、下真功夫，从而引导全区各单位公务接待做实事、出实招、见实效，在合乎规章制度的轨道上提升接待水平。</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黑体" w:eastAsia="黑体" w:hAnsi="黑体"/>
        </w:rPr>
      </w:pPr>
      <w:r>
        <w:rPr>
          <w:rFonts w:ascii="黑体" w:eastAsia="黑体" w:cs="黑体" w:hAnsi="黑体" w:hint="eastAsia"/>
        </w:rPr>
        <w:t>二、收入支出预算执行情况分析</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hAnsi="仿宋"/>
          <w:b w:val="0"/>
          <w:bCs w:val="0"/>
        </w:rPr>
      </w:pPr>
      <w:bookmarkEnd w:id="1"/>
      <w:r>
        <w:rPr>
          <w:rFonts w:ascii="楷体_GB2312" w:eastAsia="楷体_GB2312" w:cs="楷体_GB2312" w:hAnsi="仿宋" w:hint="eastAsia"/>
          <w:b w:val="0"/>
          <w:bCs w:val="0"/>
        </w:rPr>
        <w:t>（一）收入支出预算安排情况</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 w:hint="eastAsia"/>
          <w:color w:val="000000"/>
        </w:rPr>
      </w:pPr>
      <w:r>
        <w:rPr>
          <w:rFonts w:ascii="仿宋_GB2312" w:eastAsia="仿宋_GB2312" w:cs="仿宋_GB2312" w:hAnsi="仿宋" w:hint="eastAsia"/>
          <w:lang w:eastAsia="zh-CN"/>
        </w:rPr>
        <w:t>202</w:t>
      </w:r>
      <w:r>
        <w:rPr>
          <w:rFonts w:ascii="仿宋_GB2312" w:eastAsia="仿宋_GB2312" w:cs="仿宋_GB2312" w:hAnsi="仿宋" w:hint="eastAsia"/>
          <w:lang w:val="en-US" w:eastAsia="zh-CN"/>
        </w:rPr>
        <w:t>3</w:t>
      </w:r>
      <w:r>
        <w:rPr>
          <w:rFonts w:ascii="仿宋_GB2312" w:eastAsia="仿宋_GB2312" w:cs="仿宋_GB2312" w:hAnsi="仿宋" w:hint="eastAsia"/>
          <w:lang w:eastAsia="zh-CN"/>
        </w:rPr>
        <w:t>年</w:t>
      </w:r>
      <w:r>
        <w:rPr>
          <w:rFonts w:ascii="仿宋_GB2312" w:eastAsia="仿宋_GB2312" w:cs="仿宋_GB2312" w:hAnsi="仿宋" w:hint="eastAsia"/>
        </w:rPr>
        <w:t>部门</w:t>
      </w:r>
      <w:r>
        <w:rPr>
          <w:rFonts w:ascii="仿宋_GB2312" w:eastAsia="仿宋_GB2312" w:cs="仿宋_GB2312" w:hAnsi="仿宋"/>
        </w:rPr>
        <w:t>年初预算数</w:t>
      </w:r>
      <w:r>
        <w:rPr>
          <w:rFonts w:ascii="仿宋_GB2312" w:eastAsia="仿宋_GB2312" w:cs="仿宋_GB2312" w:hAnsi="仿宋"/>
          <w:lang w:val="en-US" w:eastAsia="zh-CN"/>
        </w:rPr>
        <w:t>2</w:t>
      </w:r>
      <w:r>
        <w:rPr>
          <w:rFonts w:ascii="仿宋_GB2312" w:eastAsia="仿宋_GB2312" w:cs="仿宋_GB2312" w:hAnsi="仿宋" w:hint="eastAsia"/>
          <w:lang w:val="en-US" w:eastAsia="zh-CN"/>
        </w:rPr>
        <w:t>40</w:t>
      </w:r>
      <w:r>
        <w:rPr>
          <w:rFonts w:ascii="仿宋_GB2312" w:eastAsia="仿宋_GB2312" w:cs="仿宋_GB2312" w:hAnsi="仿宋"/>
          <w:lang w:val="en-US" w:eastAsia="zh-CN"/>
        </w:rPr>
        <w:t>.</w:t>
      </w:r>
      <w:r>
        <w:rPr>
          <w:rFonts w:ascii="仿宋_GB2312" w:eastAsia="仿宋_GB2312" w:cs="仿宋_GB2312" w:hAnsi="仿宋" w:hint="eastAsia"/>
          <w:lang w:val="en-US" w:eastAsia="zh-CN"/>
        </w:rPr>
        <w:t>15</w:t>
      </w:r>
      <w:r>
        <w:rPr>
          <w:rFonts w:ascii="仿宋_GB2312" w:eastAsia="仿宋_GB2312" w:cs="仿宋_GB2312" w:hAnsi="仿宋" w:hint="eastAsia"/>
        </w:rPr>
        <w:t>万元</w:t>
      </w:r>
      <w:r>
        <w:rPr>
          <w:rFonts w:ascii="仿宋_GB2312" w:eastAsia="仿宋_GB2312" w:cs="仿宋_GB2312" w:hAnsi="仿宋" w:hint="eastAsia"/>
          <w:lang w:eastAsia="zh-CN"/>
        </w:rPr>
        <w:t>，</w:t>
      </w:r>
      <w:r>
        <w:rPr>
          <w:rFonts w:ascii="仿宋_GB2312" w:eastAsia="仿宋_GB2312" w:cs="仿宋_GB2312" w:hAnsi="仿宋" w:hint="eastAsia"/>
        </w:rPr>
        <w:t>预算</w:t>
      </w:r>
      <w:r>
        <w:rPr>
          <w:rFonts w:ascii="仿宋_GB2312" w:eastAsia="仿宋_GB2312" w:cs="仿宋_GB2312" w:hAnsi="仿宋"/>
        </w:rPr>
        <w:t>支出</w:t>
      </w:r>
      <w:r>
        <w:rPr>
          <w:rFonts w:ascii="仿宋_GB2312" w:eastAsia="仿宋_GB2312" w:cs="仿宋_GB2312" w:hAnsi="仿宋"/>
          <w:lang w:val="en-US" w:eastAsia="zh-CN"/>
        </w:rPr>
        <w:t>2</w:t>
      </w:r>
      <w:r>
        <w:rPr>
          <w:rFonts w:ascii="仿宋_GB2312" w:eastAsia="仿宋_GB2312" w:cs="仿宋_GB2312" w:hAnsi="仿宋" w:hint="eastAsia"/>
          <w:lang w:val="en-US" w:eastAsia="zh-CN"/>
        </w:rPr>
        <w:t>40</w:t>
      </w:r>
      <w:r>
        <w:rPr>
          <w:rFonts w:ascii="仿宋_GB2312" w:eastAsia="仿宋_GB2312" w:cs="仿宋_GB2312" w:hAnsi="仿宋"/>
          <w:lang w:val="en-US" w:eastAsia="zh-CN"/>
        </w:rPr>
        <w:t>.</w:t>
      </w:r>
      <w:r>
        <w:rPr>
          <w:rFonts w:ascii="仿宋_GB2312" w:eastAsia="仿宋_GB2312" w:cs="仿宋_GB2312" w:hAnsi="仿宋" w:hint="eastAsia"/>
          <w:lang w:val="en-US" w:eastAsia="zh-CN"/>
        </w:rPr>
        <w:t>15</w:t>
      </w:r>
      <w:r>
        <w:rPr>
          <w:rFonts w:ascii="仿宋_GB2312" w:eastAsia="仿宋_GB2312" w:cs="仿宋_GB2312" w:hAnsi="仿宋" w:hint="eastAsia"/>
        </w:rPr>
        <w:t>万元</w:t>
      </w:r>
      <w:r>
        <w:rPr>
          <w:rFonts w:ascii="仿宋_GB2312" w:eastAsia="仿宋_GB2312" w:cs="仿宋_GB2312" w:hAnsi="仿宋" w:hint="eastAsia"/>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hAnsi="仿宋"/>
          <w:b w:val="0"/>
          <w:bCs w:val="0"/>
        </w:rPr>
      </w:pPr>
      <w:r>
        <w:rPr>
          <w:rFonts w:ascii="楷体_GB2312" w:eastAsia="楷体_GB2312" w:cs="楷体_GB2312" w:hAnsi="仿宋" w:hint="eastAsia"/>
          <w:b w:val="0"/>
          <w:bCs w:val="0"/>
        </w:rPr>
        <w:t>（二）收入支出预算执行情况</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_GB2312" w:hint="eastAsia"/>
          <w:b/>
          <w:bCs/>
        </w:rPr>
      </w:pPr>
      <w:r>
        <w:rPr>
          <w:rFonts w:ascii="仿宋_GB2312" w:eastAsia="仿宋_GB2312" w:cs="仿宋_GB2312" w:hAnsi="仿宋_GB2312" w:hint="eastAsia"/>
          <w:b/>
          <w:bCs/>
        </w:rPr>
        <w:t>1．收入支出与预算对比分析</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hAnsi="仿宋"/>
        </w:rPr>
      </w:pPr>
      <w:r>
        <w:rPr>
          <w:rFonts w:ascii="仿宋_GB2312" w:eastAsia="仿宋_GB2312" w:cs="仿宋_GB2312" w:hAnsi="仿宋" w:hint="eastAsia"/>
        </w:rPr>
        <w:t>（</w:t>
      </w:r>
      <w:r>
        <w:rPr>
          <w:rFonts w:ascii="仿宋_GB2312" w:eastAsia="仿宋_GB2312" w:cs="仿宋_GB2312" w:hAnsi="仿宋"/>
        </w:rPr>
        <w:t>1</w:t>
      </w:r>
      <w:r>
        <w:rPr>
          <w:rFonts w:ascii="仿宋_GB2312" w:eastAsia="仿宋_GB2312" w:cs="仿宋_GB2312" w:hAnsi="仿宋" w:hint="eastAsia"/>
        </w:rPr>
        <w:t>）</w:t>
      </w:r>
      <w:r>
        <w:rPr>
          <w:rFonts w:ascii="仿宋_GB2312" w:eastAsia="仿宋_GB2312" w:cs="仿宋_GB2312" w:hAnsi="仿宋" w:hint="eastAsia"/>
          <w:lang w:eastAsia="zh-CN"/>
        </w:rPr>
        <w:t>202</w:t>
      </w:r>
      <w:r>
        <w:rPr>
          <w:rFonts w:ascii="仿宋_GB2312" w:eastAsia="仿宋_GB2312" w:cs="仿宋_GB2312" w:hAnsi="仿宋" w:hint="eastAsia"/>
          <w:lang w:val="en-US" w:eastAsia="zh-CN"/>
        </w:rPr>
        <w:t>3</w:t>
      </w:r>
      <w:r>
        <w:rPr>
          <w:rFonts w:ascii="仿宋_GB2312" w:eastAsia="仿宋_GB2312" w:cs="仿宋_GB2312" w:hAnsi="仿宋" w:hint="eastAsia"/>
          <w:lang w:eastAsia="zh-CN"/>
        </w:rPr>
        <w:t>年</w:t>
      </w:r>
      <w:r>
        <w:rPr>
          <w:rFonts w:ascii="仿宋_GB2312" w:eastAsia="仿宋_GB2312" w:cs="仿宋_GB2312" w:hAnsi="仿宋" w:hint="eastAsia"/>
        </w:rPr>
        <w:t>部门</w:t>
      </w:r>
      <w:r>
        <w:rPr>
          <w:rFonts w:ascii="仿宋_GB2312" w:eastAsia="仿宋_GB2312" w:cs="仿宋_GB2312" w:hAnsi="仿宋"/>
        </w:rPr>
        <w:t>年初</w:t>
      </w:r>
      <w:r>
        <w:rPr>
          <w:rFonts w:ascii="仿宋_GB2312" w:eastAsia="仿宋_GB2312" w:cs="仿宋_GB2312" w:hAnsi="仿宋" w:hint="eastAsia"/>
        </w:rPr>
        <w:t>预算收入</w:t>
      </w:r>
      <w:r>
        <w:rPr>
          <w:rFonts w:ascii="仿宋_GB2312" w:eastAsia="仿宋_GB2312" w:cs="仿宋_GB2312" w:hAnsi="仿宋"/>
          <w:lang w:val="en-US" w:eastAsia="zh-CN"/>
        </w:rPr>
        <w:t>2</w:t>
      </w:r>
      <w:r>
        <w:rPr>
          <w:rFonts w:ascii="仿宋_GB2312" w:eastAsia="仿宋_GB2312" w:cs="仿宋_GB2312" w:hAnsi="仿宋" w:hint="eastAsia"/>
          <w:lang w:val="en-US" w:eastAsia="zh-CN"/>
        </w:rPr>
        <w:t>40</w:t>
      </w:r>
      <w:r>
        <w:rPr>
          <w:rFonts w:ascii="仿宋_GB2312" w:eastAsia="仿宋_GB2312" w:cs="仿宋_GB2312" w:hAnsi="仿宋"/>
          <w:lang w:val="en-US" w:eastAsia="zh-CN"/>
        </w:rPr>
        <w:t>.</w:t>
      </w:r>
      <w:r>
        <w:rPr>
          <w:rFonts w:ascii="仿宋_GB2312" w:eastAsia="仿宋_GB2312" w:cs="仿宋_GB2312" w:hAnsi="仿宋" w:hint="eastAsia"/>
          <w:lang w:val="en-US" w:eastAsia="zh-CN"/>
        </w:rPr>
        <w:t>15</w:t>
      </w:r>
      <w:r>
        <w:rPr>
          <w:rFonts w:ascii="仿宋_GB2312" w:eastAsia="仿宋_GB2312" w:cs="仿宋_GB2312" w:hAnsi="仿宋" w:hint="eastAsia"/>
        </w:rPr>
        <w:t>万元</w:t>
      </w:r>
      <w:r>
        <w:rPr>
          <w:rFonts w:ascii="仿宋_GB2312" w:eastAsia="仿宋_GB2312" w:cs="仿宋_GB2312" w:hAnsi="仿宋" w:hint="eastAsia"/>
          <w:lang w:eastAsia="zh-CN"/>
        </w:rPr>
        <w:t>，</w:t>
      </w:r>
      <w:r>
        <w:rPr>
          <w:rFonts w:ascii="仿宋_GB2312" w:eastAsia="仿宋_GB2312" w:cs="仿宋_GB2312" w:hAnsi="仿宋" w:hint="eastAsia"/>
        </w:rPr>
        <w:t>预算支出</w:t>
      </w:r>
      <w:r>
        <w:rPr>
          <w:rFonts w:ascii="仿宋_GB2312" w:eastAsia="仿宋_GB2312" w:cs="仿宋_GB2312" w:hAnsi="仿宋"/>
          <w:lang w:val="en-US" w:eastAsia="zh-CN"/>
        </w:rPr>
        <w:t>2</w:t>
      </w:r>
      <w:r>
        <w:rPr>
          <w:rFonts w:ascii="仿宋_GB2312" w:eastAsia="仿宋_GB2312" w:cs="仿宋_GB2312" w:hAnsi="仿宋" w:hint="eastAsia"/>
          <w:lang w:val="en-US" w:eastAsia="zh-CN"/>
        </w:rPr>
        <w:t>40</w:t>
      </w:r>
      <w:r>
        <w:rPr>
          <w:rFonts w:ascii="仿宋_GB2312" w:eastAsia="仿宋_GB2312" w:cs="仿宋_GB2312" w:hAnsi="仿宋"/>
          <w:lang w:val="en-US" w:eastAsia="zh-CN"/>
        </w:rPr>
        <w:t>.</w:t>
      </w:r>
      <w:r>
        <w:rPr>
          <w:rFonts w:ascii="仿宋_GB2312" w:eastAsia="仿宋_GB2312" w:cs="仿宋_GB2312" w:hAnsi="仿宋" w:hint="eastAsia"/>
          <w:lang w:val="en-US" w:eastAsia="zh-CN"/>
        </w:rPr>
        <w:t>15</w:t>
      </w:r>
      <w:r>
        <w:rPr>
          <w:rFonts w:ascii="仿宋_GB2312" w:eastAsia="仿宋_GB2312" w:cs="仿宋_GB2312" w:hAnsi="仿宋" w:hint="eastAsia"/>
        </w:rPr>
        <w:t>万元，基本支出</w:t>
      </w:r>
      <w:r>
        <w:rPr>
          <w:rFonts w:ascii="仿宋_GB2312" w:eastAsia="仿宋_GB2312" w:cs="仿宋_GB2312" w:hAnsi="仿宋"/>
          <w:lang w:eastAsia="zh-CN"/>
        </w:rPr>
        <w:t>100.15</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，其中工资福利支出</w:t>
      </w:r>
      <w:r>
        <w:rPr>
          <w:rFonts w:ascii="仿宋_GB2312" w:eastAsia="仿宋_GB2312" w:cs="仿宋_GB2312" w:hAnsi="仿宋"/>
          <w:lang w:eastAsia="zh-CN"/>
        </w:rPr>
        <w:t>94.15</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，商品和服务支出</w:t>
      </w:r>
      <w:r>
        <w:rPr>
          <w:rFonts w:ascii="仿宋_GB2312" w:eastAsia="仿宋_GB2312" w:cs="仿宋_GB2312" w:hAnsi="仿宋" w:hint="eastAsia"/>
          <w:lang w:val="en-US" w:eastAsia="zh-CN"/>
        </w:rPr>
        <w:t>6</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；项目支出</w:t>
      </w:r>
      <w:r>
        <w:rPr>
          <w:rFonts w:ascii="仿宋_GB2312" w:eastAsia="仿宋_GB2312" w:cs="仿宋_GB2312" w:hAnsi="仿宋" w:hint="eastAsia"/>
          <w:lang w:val="en-US" w:eastAsia="zh-CN"/>
        </w:rPr>
        <w:t>1</w:t>
      </w:r>
      <w:r>
        <w:rPr>
          <w:rFonts w:ascii="仿宋_GB2312" w:eastAsia="仿宋_GB2312" w:cs="仿宋_GB2312" w:hAnsi="仿宋"/>
          <w:lang w:eastAsia="zh-CN"/>
        </w:rPr>
        <w:t>40</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hAnsi="仿宋" w:hint="eastAsia"/>
          <w:lang w:val="en-US" w:eastAsia="zh-CN"/>
        </w:rPr>
      </w:pPr>
      <w:r>
        <w:rPr>
          <w:rFonts w:ascii="仿宋_GB2312" w:eastAsia="仿宋_GB2312" w:cs="仿宋_GB2312" w:hAnsi="仿宋" w:hint="eastAsia"/>
          <w:lang w:eastAsia="zh-CN"/>
        </w:rPr>
        <w:t>决</w:t>
      </w:r>
      <w:r>
        <w:rPr>
          <w:rFonts w:ascii="仿宋_GB2312" w:eastAsia="仿宋_GB2312" w:cs="仿宋_GB2312" w:hAnsi="仿宋" w:hint="eastAsia"/>
        </w:rPr>
        <w:t>算支出</w:t>
      </w:r>
      <w:r>
        <w:rPr>
          <w:rFonts w:ascii="仿宋_GB2312" w:eastAsia="仿宋_GB2312" w:cs="仿宋_GB2312" w:hAnsi="仿宋" w:hint="eastAsia"/>
          <w:lang w:val="en-US" w:eastAsia="zh-CN"/>
        </w:rPr>
        <w:t>119.88</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，基本支出</w:t>
      </w:r>
      <w:r>
        <w:rPr>
          <w:rFonts w:ascii="仿宋_GB2312" w:eastAsia="仿宋_GB2312" w:cs="仿宋_GB2312" w:hAnsi="仿宋" w:hint="eastAsia"/>
          <w:lang w:val="en-US" w:eastAsia="zh-CN"/>
        </w:rPr>
        <w:t>96.6</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，其中工资福利支出</w:t>
      </w:r>
      <w:r>
        <w:rPr>
          <w:rFonts w:ascii="仿宋_GB2312" w:eastAsia="仿宋_GB2312" w:cs="仿宋_GB2312" w:hAnsi="仿宋" w:hint="eastAsia"/>
          <w:lang w:val="en-US" w:eastAsia="zh-CN"/>
        </w:rPr>
        <w:t>90.6</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，商品和服务支出</w:t>
      </w:r>
      <w:r>
        <w:rPr>
          <w:rFonts w:ascii="仿宋_GB2312" w:eastAsia="仿宋_GB2312" w:cs="仿宋_GB2312" w:hAnsi="仿宋" w:hint="eastAsia"/>
          <w:lang w:val="en-US" w:eastAsia="zh-CN"/>
        </w:rPr>
        <w:t>6万元</w:t>
      </w:r>
      <w:r>
        <w:rPr>
          <w:rFonts w:ascii="仿宋_GB2312" w:eastAsia="仿宋_GB2312" w:cs="仿宋_GB2312" w:hAnsi="仿宋" w:hint="eastAsia"/>
        </w:rPr>
        <w:t>；项目支出</w:t>
      </w:r>
      <w:r>
        <w:rPr>
          <w:rFonts w:ascii="仿宋_GB2312" w:eastAsia="仿宋_GB2312" w:cs="仿宋_GB2312" w:hAnsi="仿宋" w:hint="eastAsia"/>
          <w:lang w:val="en-US" w:eastAsia="zh-CN"/>
        </w:rPr>
        <w:t>23.28</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w:t>
      </w:r>
      <w:r>
        <w:rPr>
          <w:rFonts w:ascii="仿宋_GB2312" w:eastAsia="仿宋_GB2312" w:cs="仿宋_GB2312" w:hAnsi="仿宋" w:hint="eastAsia"/>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left="0" w:firstLineChars="200" w:firstLine="640"/>
        <w:textAlignment w:val="auto"/>
        <w:rPr>
          <w:rFonts w:ascii="??_GB2312" w:hAnsi="仿宋"/>
          <w:b/>
          <w:bCs/>
        </w:rPr>
      </w:pPr>
      <w:r>
        <w:rPr>
          <w:rFonts w:ascii="仿宋_GB2312" w:eastAsia="仿宋_GB2312" w:cs="仿宋_GB2312" w:hAnsi="仿宋" w:hint="eastAsia"/>
          <w:b/>
          <w:bCs/>
        </w:rPr>
        <w:t>差异原因分析。</w:t>
      </w:r>
      <w:r>
        <w:rPr>
          <w:rFonts w:ascii="仿宋_GB2312" w:eastAsia="仿宋_GB2312" w:cs="仿宋_GB2312" w:hAnsi="仿宋" w:hint="eastAsia"/>
          <w:lang w:eastAsia="zh-CN"/>
        </w:rPr>
        <w:t>202</w:t>
      </w:r>
      <w:r>
        <w:rPr>
          <w:rFonts w:ascii="仿宋_GB2312" w:eastAsia="仿宋_GB2312" w:cs="仿宋_GB2312" w:hAnsi="仿宋" w:hint="eastAsia"/>
          <w:lang w:val="en-US" w:eastAsia="zh-CN"/>
        </w:rPr>
        <w:t>3</w:t>
      </w:r>
      <w:r>
        <w:rPr>
          <w:rFonts w:ascii="仿宋_GB2312" w:eastAsia="仿宋_GB2312" w:cs="仿宋_GB2312" w:hAnsi="仿宋" w:hint="eastAsia"/>
          <w:lang w:eastAsia="zh-CN"/>
        </w:rPr>
        <w:t>年</w:t>
      </w:r>
      <w:r>
        <w:rPr>
          <w:rFonts w:ascii="仿宋_GB2312" w:eastAsia="仿宋_GB2312" w:cs="仿宋_GB2312" w:hAnsi="仿宋" w:hint="eastAsia"/>
        </w:rPr>
        <w:t>决算收入和支出均较</w:t>
      </w:r>
      <w:r>
        <w:rPr>
          <w:rFonts w:ascii="仿宋_GB2312" w:eastAsia="仿宋_GB2312" w:cs="仿宋_GB2312" w:hAnsi="仿宋" w:hint="eastAsia"/>
          <w:lang w:val="en-US" w:eastAsia="zh-CN"/>
        </w:rPr>
        <w:t>2023</w:t>
      </w:r>
      <w:r>
        <w:rPr>
          <w:rFonts w:ascii="仿宋_GB2312" w:eastAsia="仿宋_GB2312" w:cs="仿宋_GB2312" w:hAnsi="仿宋" w:hint="eastAsia"/>
          <w:lang w:eastAsia="zh-CN"/>
        </w:rPr>
        <w:t>年</w:t>
      </w:r>
      <w:r>
        <w:rPr>
          <w:rFonts w:ascii="仿宋_GB2312" w:eastAsia="仿宋_GB2312" w:cs="仿宋_GB2312" w:hAnsi="仿宋" w:hint="eastAsia"/>
        </w:rPr>
        <w:t>预算</w:t>
      </w:r>
      <w:r>
        <w:rPr>
          <w:rFonts w:ascii="仿宋_GB2312" w:eastAsia="仿宋_GB2312" w:cs="仿宋_GB2312" w:hAnsi="仿宋" w:hint="eastAsia"/>
          <w:lang w:eastAsia="zh-CN"/>
        </w:rPr>
        <w:t>减少</w:t>
      </w:r>
      <w:r>
        <w:rPr>
          <w:rFonts w:ascii="仿宋_GB2312" w:eastAsia="仿宋_GB2312" w:cs="仿宋_GB2312" w:hAnsi="仿宋" w:hint="eastAsia"/>
          <w:lang w:val="en-US" w:eastAsia="zh-CN"/>
        </w:rPr>
        <w:t>120.27</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，其中基本支出</w:t>
      </w:r>
      <w:r>
        <w:rPr>
          <w:rFonts w:ascii="仿宋_GB2312" w:eastAsia="仿宋_GB2312" w:cs="仿宋_GB2312" w:hAnsi="仿宋" w:hint="eastAsia"/>
          <w:lang w:eastAsia="zh-CN"/>
        </w:rPr>
        <w:t>小幅减少，</w:t>
      </w:r>
      <w:r>
        <w:rPr>
          <w:rFonts w:ascii="仿宋_GB2312" w:eastAsia="仿宋_GB2312" w:cs="仿宋_GB2312" w:hAnsi="仿宋" w:hint="eastAsia"/>
        </w:rPr>
        <w:t>项目支出大幅</w:t>
      </w:r>
      <w:r>
        <w:rPr>
          <w:rFonts w:ascii="仿宋_GB2312" w:eastAsia="仿宋_GB2312" w:cs="仿宋_GB2312" w:hAnsi="仿宋" w:hint="eastAsia"/>
          <w:lang w:eastAsia="zh-CN"/>
        </w:rPr>
        <w:t>减少</w:t>
      </w:r>
      <w:r>
        <w:rPr>
          <w:rFonts w:ascii="仿宋_GB2312" w:eastAsia="仿宋_GB2312" w:cs="仿宋_GB2312" w:hAnsi="仿宋" w:hint="eastAsia"/>
        </w:rPr>
        <w:t>，</w:t>
      </w:r>
      <w:r>
        <w:rPr>
          <w:rFonts w:ascii="仿宋_GB2312" w:eastAsia="仿宋_GB2312" w:cs="仿宋_GB2312" w:hAnsi="仿宋" w:hint="eastAsia"/>
          <w:color w:val="000000"/>
        </w:rPr>
        <w:t>原因是</w:t>
      </w:r>
      <w:r>
        <w:rPr>
          <w:rFonts w:ascii="仿宋_GB2312" w:eastAsia="仿宋_GB2312" w:cs="仿宋_GB2312" w:hAnsi="仿宋" w:hint="eastAsia"/>
          <w:color w:val="000000"/>
          <w:lang w:val="en-US" w:eastAsia="zh-CN"/>
        </w:rPr>
        <w:t>本年度</w:t>
      </w:r>
      <w:r>
        <w:rPr>
          <w:rFonts w:ascii="仿宋_GB2312" w:eastAsia="仿宋_GB2312" w:cs="仿宋_GB2312" w:hAnsi="仿宋"/>
          <w:color w:val="000000"/>
          <w:lang w:val="en-US" w:eastAsia="zh-CN"/>
        </w:rPr>
        <w:t>在接待专项和日常事务专项上厉行节约，精简开支</w:t>
      </w:r>
      <w:r>
        <w:rPr>
          <w:rFonts w:ascii="仿宋_GB2312" w:eastAsia="仿宋_GB2312" w:cs="仿宋_GB2312" w:hAnsi="仿宋" w:hint="eastAsia"/>
          <w:color w:val="00000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cs="仿宋_GB2312" w:hAnsi="仿宋_GB2312" w:hint="eastAsia"/>
          <w:b/>
          <w:bCs/>
        </w:rPr>
      </w:pPr>
      <w:r>
        <w:rPr>
          <w:rFonts w:ascii="仿宋_GB2312" w:eastAsia="仿宋_GB2312" w:cs="仿宋_GB2312" w:hAnsi="仿宋_GB2312" w:hint="eastAsia"/>
          <w:b/>
          <w:bCs/>
        </w:rPr>
        <w:t>收入支出结构分析</w:t>
      </w:r>
    </w:p>
    <w:p>
      <w:pPr>
        <w:keepNext w:val="0"/>
        <w:keepLines w:val="0"/>
        <w:pageBreakBefore w:val="0"/>
        <w:widowControl w:val="0"/>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cs="仿宋_GB2312" w:hAnsi="仿宋" w:hint="eastAsia"/>
        </w:rPr>
      </w:pPr>
      <w:r>
        <w:rPr>
          <w:rFonts w:ascii="仿宋_GB2312" w:eastAsia="仿宋_GB2312" w:cs="仿宋_GB2312" w:hAnsi="仿宋" w:hint="eastAsia"/>
          <w:b/>
          <w:bCs/>
        </w:rPr>
        <w:t>（1）</w:t>
      </w:r>
      <w:r>
        <w:rPr>
          <w:rFonts w:ascii="仿宋_GB2312" w:eastAsia="仿宋_GB2312" w:cs="仿宋_GB2312" w:hAnsi="仿宋" w:hint="eastAsia"/>
          <w:lang w:eastAsia="zh-CN"/>
        </w:rPr>
        <w:t>202</w:t>
      </w:r>
      <w:r>
        <w:rPr>
          <w:rFonts w:ascii="仿宋_GB2312" w:eastAsia="仿宋_GB2312" w:cs="仿宋_GB2312" w:hAnsi="仿宋" w:hint="eastAsia"/>
          <w:lang w:val="en-US" w:eastAsia="zh-CN"/>
        </w:rPr>
        <w:t>3</w:t>
      </w:r>
      <w:r>
        <w:rPr>
          <w:rFonts w:ascii="仿宋_GB2312" w:eastAsia="仿宋_GB2312" w:cs="仿宋_GB2312" w:hAnsi="仿宋" w:hint="eastAsia"/>
          <w:lang w:eastAsia="zh-CN"/>
        </w:rPr>
        <w:t>年</w:t>
      </w:r>
      <w:r>
        <w:rPr>
          <w:rFonts w:ascii="仿宋_GB2312" w:eastAsia="仿宋_GB2312" w:cs="仿宋_GB2312" w:hAnsi="仿宋" w:hint="eastAsia"/>
        </w:rPr>
        <w:t>财政拨款收入占总收入的</w:t>
      </w:r>
      <w:r>
        <w:rPr>
          <w:rFonts w:ascii="仿宋_GB2312" w:eastAsia="仿宋_GB2312" w:cs="仿宋_GB2312" w:hAnsi="仿宋"/>
        </w:rPr>
        <w:t>100%</w:t>
      </w:r>
      <w:r>
        <w:rPr>
          <w:rFonts w:ascii="仿宋_GB2312" w:eastAsia="仿宋_GB2312" w:cs="仿宋_GB2312" w:hAnsi="仿宋" w:hint="eastAsia"/>
        </w:rPr>
        <w:t>。</w:t>
      </w:r>
      <w:r>
        <w:rPr>
          <w:rFonts w:ascii="仿宋_GB2312" w:eastAsia="仿宋_GB2312" w:cs="仿宋_GB2312" w:hAnsi="仿宋" w:hint="eastAsia"/>
          <w:lang w:eastAsia="zh-CN"/>
        </w:rPr>
        <w:t>202</w:t>
      </w:r>
      <w:r>
        <w:rPr>
          <w:rFonts w:ascii="仿宋_GB2312" w:eastAsia="仿宋_GB2312" w:cs="仿宋_GB2312" w:hAnsi="仿宋" w:hint="eastAsia"/>
          <w:lang w:val="en-US" w:eastAsia="zh-CN"/>
        </w:rPr>
        <w:t>3</w:t>
      </w:r>
      <w:r>
        <w:rPr>
          <w:rFonts w:ascii="仿宋_GB2312" w:eastAsia="仿宋_GB2312" w:cs="仿宋_GB2312" w:hAnsi="仿宋" w:hint="eastAsia"/>
          <w:lang w:eastAsia="zh-CN"/>
        </w:rPr>
        <w:t>年</w:t>
      </w:r>
      <w:r>
        <w:rPr>
          <w:rFonts w:ascii="仿宋_GB2312" w:eastAsia="仿宋_GB2312" w:cs="仿宋_GB2312" w:hAnsi="仿宋" w:hint="eastAsia"/>
        </w:rPr>
        <w:t>各项支出结构为：工资福利支出占总支出的</w:t>
      </w:r>
      <w:r>
        <w:rPr>
          <w:rFonts w:ascii="仿宋_GB2312" w:eastAsia="仿宋_GB2312" w:cs="仿宋_GB2312" w:hAnsi="仿宋" w:hint="eastAsia"/>
          <w:lang w:val="en-US" w:eastAsia="zh-CN"/>
        </w:rPr>
        <w:t>75.58</w:t>
      </w:r>
      <w:r>
        <w:rPr>
          <w:rFonts w:ascii="仿宋_GB2312" w:eastAsia="仿宋_GB2312" w:cs="仿宋_GB2312" w:hAnsi="仿宋"/>
        </w:rPr>
        <w:t>%</w:t>
      </w:r>
      <w:r>
        <w:rPr>
          <w:rFonts w:ascii="仿宋_GB2312" w:eastAsia="仿宋_GB2312" w:cs="仿宋_GB2312" w:hAnsi="仿宋" w:hint="eastAsia"/>
        </w:rPr>
        <w:t>，商品服务支出占总支出的</w:t>
      </w:r>
      <w:r>
        <w:rPr>
          <w:rFonts w:ascii="仿宋_GB2312" w:eastAsia="仿宋_GB2312" w:cs="仿宋_GB2312" w:hAnsi="仿宋" w:hint="eastAsia"/>
          <w:lang w:val="en-US" w:eastAsia="zh-CN"/>
        </w:rPr>
        <w:t>5</w:t>
      </w:r>
      <w:r>
        <w:rPr>
          <w:rFonts w:ascii="仿宋_GB2312" w:eastAsia="仿宋_GB2312" w:cs="仿宋_GB2312" w:hAnsi="仿宋"/>
        </w:rPr>
        <w:t>%</w:t>
      </w:r>
      <w:r>
        <w:rPr>
          <w:rFonts w:ascii="仿宋_GB2312" w:eastAsia="仿宋_GB2312" w:cs="仿宋_GB2312" w:hAnsi="仿宋" w:hint="eastAsia"/>
        </w:rPr>
        <w:t>，项目支出占总支出的</w:t>
      </w:r>
      <w:r>
        <w:rPr>
          <w:rFonts w:ascii="仿宋_GB2312" w:eastAsia="仿宋_GB2312" w:cs="仿宋_GB2312" w:hAnsi="仿宋" w:hint="eastAsia"/>
          <w:lang w:val="en-US" w:eastAsia="zh-CN"/>
        </w:rPr>
        <w:t>19.42</w:t>
      </w:r>
      <w:r>
        <w:rPr>
          <w:rFonts w:ascii="仿宋_GB2312" w:eastAsia="仿宋_GB2312" w:cs="仿宋_GB2312" w:hAnsi="仿宋"/>
        </w:rPr>
        <w:t>%</w:t>
      </w:r>
      <w:r>
        <w:rPr>
          <w:rFonts w:ascii="仿宋_GB2312" w:eastAsia="仿宋_GB2312" w:cs="仿宋_GB2312" w:hAnsi="仿宋" w:hint="eastAsia"/>
        </w:rPr>
        <w:t>。</w:t>
      </w:r>
    </w:p>
    <w:p>
      <w:pPr>
        <w:keepNext w:val="0"/>
        <w:keepLines w:val="0"/>
        <w:pageBreakBefore w:val="0"/>
        <w:widowControl w:val="0"/>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cs="仿宋_GB2312" w:hAnsi="仿宋" w:hint="eastAsia"/>
          <w:b/>
          <w:bCs/>
        </w:rPr>
      </w:pPr>
      <w:r>
        <w:rPr>
          <w:rFonts w:ascii="仿宋_GB2312" w:eastAsia="仿宋_GB2312" w:cs="仿宋_GB2312" w:hAnsi="仿宋" w:hint="eastAsia"/>
          <w:b/>
          <w:bCs/>
        </w:rPr>
        <w:t>（2）收入支出按部门所属单位分布情况</w:t>
      </w:r>
      <w:r>
        <w:rPr>
          <w:rFonts w:ascii="仿宋_GB2312" w:eastAsia="仿宋_GB2312" w:cs="仿宋_GB2312" w:hAnsi="仿宋" w:hint="eastAsia"/>
          <w:b/>
          <w:bCs/>
          <w:lang w:eastAsia="zh-CN"/>
        </w:rPr>
        <w:t>：</w:t>
      </w:r>
      <w:r>
        <w:rPr>
          <w:rFonts w:ascii="仿宋_GB2312" w:eastAsia="仿宋_GB2312" w:cs="仿宋_GB2312" w:hAnsi="仿宋" w:hint="eastAsia"/>
          <w:b w:val="0"/>
          <w:bCs w:val="0"/>
          <w:lang w:eastAsia="zh-CN"/>
        </w:rPr>
        <w:t>无。</w:t>
      </w:r>
    </w:p>
    <w:p>
      <w:pPr>
        <w:keepNext w:val="0"/>
        <w:keepLines w:val="0"/>
        <w:pageBreakBefore w:val="0"/>
        <w:widowControl w:val="0"/>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hAnsi="仿宋"/>
        </w:rPr>
      </w:pPr>
      <w:r>
        <w:rPr>
          <w:rFonts w:ascii="仿宋_GB2312" w:eastAsia="仿宋_GB2312" w:cs="仿宋_GB2312" w:hAnsi="仿宋" w:hint="eastAsia"/>
          <w:b/>
          <w:bCs/>
          <w:lang w:eastAsia="zh-CN"/>
        </w:rPr>
        <w:t>（</w:t>
      </w:r>
      <w:r>
        <w:rPr>
          <w:rFonts w:ascii="仿宋_GB2312" w:eastAsia="仿宋_GB2312" w:cs="仿宋_GB2312" w:hAnsi="仿宋" w:hint="eastAsia"/>
          <w:b/>
          <w:bCs/>
          <w:lang w:val="en-US" w:eastAsia="zh-CN"/>
        </w:rPr>
        <w:t>3</w:t>
      </w:r>
      <w:r>
        <w:rPr>
          <w:rFonts w:ascii="仿宋_GB2312" w:eastAsia="仿宋_GB2312" w:cs="仿宋_GB2312" w:hAnsi="仿宋" w:hint="eastAsia"/>
          <w:b/>
          <w:bCs/>
          <w:lang w:eastAsia="zh-CN"/>
        </w:rPr>
        <w:t>）</w:t>
      </w:r>
      <w:r>
        <w:rPr>
          <w:rFonts w:ascii="仿宋_GB2312" w:eastAsia="仿宋_GB2312" w:cs="仿宋_GB2312" w:hAnsi="仿宋" w:hint="eastAsia"/>
          <w:b/>
          <w:bCs/>
        </w:rPr>
        <w:t>收入支出与上年度对比情况及原因分析</w:t>
      </w:r>
      <w:r>
        <w:rPr>
          <w:rFonts w:ascii="仿宋_GB2312" w:eastAsia="仿宋_GB2312" w:cs="仿宋_GB2312" w:hAnsi="仿宋" w:hint="eastAsia"/>
          <w:b/>
          <w:bCs/>
          <w:lang w:eastAsia="zh-CN"/>
        </w:rPr>
        <w:t>。</w:t>
      </w:r>
      <w:r>
        <w:rPr>
          <w:rFonts w:ascii="仿宋_GB2312" w:eastAsia="仿宋_GB2312" w:cs="仿宋_GB2312" w:hAnsi="仿宋" w:hint="eastAsia"/>
          <w:lang w:eastAsia="zh-CN"/>
        </w:rPr>
        <w:t>202</w:t>
      </w:r>
      <w:r>
        <w:rPr>
          <w:rFonts w:ascii="仿宋_GB2312" w:eastAsia="仿宋_GB2312" w:cs="仿宋_GB2312" w:hAnsi="仿宋" w:hint="eastAsia"/>
          <w:lang w:val="en-US" w:eastAsia="zh-CN"/>
        </w:rPr>
        <w:t>3</w:t>
      </w:r>
      <w:r>
        <w:rPr>
          <w:rFonts w:ascii="仿宋_GB2312" w:eastAsia="仿宋_GB2312" w:cs="仿宋_GB2312" w:hAnsi="仿宋" w:hint="eastAsia"/>
          <w:lang w:eastAsia="zh-CN"/>
        </w:rPr>
        <w:t>年</w:t>
      </w:r>
      <w:r>
        <w:rPr>
          <w:rFonts w:ascii="仿宋_GB2312" w:eastAsia="仿宋_GB2312" w:cs="仿宋_GB2312" w:hAnsi="仿宋" w:hint="eastAsia"/>
        </w:rPr>
        <w:t>收入支出较上年度</w:t>
      </w:r>
      <w:r>
        <w:rPr>
          <w:rFonts w:ascii="仿宋_GB2312" w:eastAsia="仿宋_GB2312" w:cs="仿宋_GB2312" w:hAnsi="仿宋" w:hint="eastAsia"/>
          <w:lang w:eastAsia="zh-CN"/>
        </w:rPr>
        <w:t>减少</w:t>
      </w:r>
      <w:r>
        <w:rPr>
          <w:rFonts w:ascii="仿宋_GB2312" w:eastAsia="仿宋_GB2312" w:cs="仿宋_GB2312" w:hAnsi="仿宋" w:hint="eastAsia"/>
          <w:lang w:val="en-US" w:eastAsia="zh-CN"/>
        </w:rPr>
        <w:t>263.28</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，其中工资福利支出较上年</w:t>
      </w:r>
      <w:r>
        <w:rPr>
          <w:rFonts w:ascii="仿宋_GB2312" w:eastAsia="仿宋_GB2312" w:cs="仿宋_GB2312" w:hAnsi="仿宋" w:hint="eastAsia"/>
          <w:lang w:eastAsia="zh-CN"/>
        </w:rPr>
        <w:t>减少</w:t>
      </w:r>
      <w:r>
        <w:rPr>
          <w:rFonts w:ascii="仿宋_GB2312" w:eastAsia="仿宋_GB2312" w:cs="仿宋_GB2312" w:hAnsi="仿宋" w:hint="eastAsia"/>
          <w:lang w:val="en-US" w:eastAsia="zh-CN"/>
        </w:rPr>
        <w:t>16.34万元</w:t>
      </w:r>
      <w:r>
        <w:rPr>
          <w:rFonts w:ascii="仿宋_GB2312" w:eastAsia="仿宋_GB2312" w:cs="仿宋_GB2312" w:hAnsi="仿宋" w:hint="eastAsia"/>
        </w:rPr>
        <w:t>，</w:t>
      </w:r>
      <w:r>
        <w:rPr>
          <w:rFonts w:ascii="仿宋_GB2312" w:eastAsia="仿宋_GB2312" w:cs="仿宋_GB2312" w:hAnsi="仿宋" w:hint="eastAsia"/>
          <w:lang w:eastAsia="zh-CN"/>
        </w:rPr>
        <w:t>降幅</w:t>
      </w:r>
      <w:r>
        <w:rPr>
          <w:rFonts w:ascii="仿宋_GB2312" w:eastAsia="仿宋_GB2312" w:cs="仿宋_GB2312" w:hAnsi="仿宋" w:hint="eastAsia"/>
          <w:lang w:val="en-US" w:eastAsia="zh-CN"/>
        </w:rPr>
        <w:t>15.28</w:t>
      </w:r>
      <w:r>
        <w:rPr>
          <w:rFonts w:ascii="仿宋_GB2312" w:eastAsia="仿宋_GB2312" w:cs="仿宋_GB2312" w:hAnsi="仿宋"/>
        </w:rPr>
        <w:t>%</w:t>
      </w:r>
      <w:r>
        <w:rPr>
          <w:rFonts w:ascii="仿宋_GB2312" w:eastAsia="仿宋_GB2312" w:cs="仿宋_GB2312" w:hAnsi="仿宋" w:hint="eastAsia"/>
        </w:rPr>
        <w:t>；商品和服务支出较上年</w:t>
      </w:r>
      <w:r>
        <w:rPr>
          <w:rFonts w:ascii="仿宋_GB2312" w:eastAsia="仿宋_GB2312" w:cs="仿宋_GB2312" w:hAnsi="仿宋" w:hint="eastAsia"/>
          <w:lang w:eastAsia="zh-CN"/>
        </w:rPr>
        <w:t>基本持平；</w:t>
      </w:r>
      <w:r>
        <w:rPr>
          <w:rFonts w:ascii="仿宋_GB2312" w:eastAsia="仿宋_GB2312" w:cs="仿宋_GB2312" w:hAnsi="仿宋" w:hint="eastAsia"/>
        </w:rPr>
        <w:t>项目支出</w:t>
      </w:r>
      <w:r>
        <w:rPr>
          <w:rFonts w:ascii="仿宋_GB2312" w:eastAsia="仿宋_GB2312" w:cs="仿宋_GB2312" w:hAnsi="仿宋" w:hint="eastAsia"/>
          <w:lang w:eastAsia="zh-CN"/>
        </w:rPr>
        <w:t>较少</w:t>
      </w:r>
      <w:r>
        <w:rPr>
          <w:rFonts w:ascii="仿宋_GB2312" w:eastAsia="仿宋_GB2312" w:cs="仿宋_GB2312" w:hAnsi="仿宋" w:hint="eastAsia"/>
          <w:lang w:val="en-US" w:eastAsia="zh-CN"/>
        </w:rPr>
        <w:t>246.94万元</w:t>
      </w:r>
      <w:r>
        <w:rPr>
          <w:rFonts w:ascii="仿宋_GB2312" w:eastAsia="仿宋_GB2312" w:cs="仿宋_GB2312" w:hAnsi="仿宋" w:hint="eastAsia"/>
        </w:rPr>
        <w:t>，</w:t>
      </w:r>
      <w:r>
        <w:rPr>
          <w:rFonts w:ascii="仿宋_GB2312" w:eastAsia="仿宋_GB2312" w:cs="仿宋_GB2312" w:hAnsi="仿宋" w:hint="eastAsia"/>
          <w:lang w:eastAsia="zh-CN"/>
        </w:rPr>
        <w:t>降幅</w:t>
      </w:r>
      <w:r>
        <w:rPr>
          <w:rFonts w:ascii="仿宋_GB2312" w:eastAsia="仿宋_GB2312" w:cs="仿宋_GB2312" w:hAnsi="仿宋" w:hint="eastAsia"/>
          <w:lang w:val="en-US" w:eastAsia="zh-CN"/>
        </w:rPr>
        <w:t>91.38</w:t>
      </w:r>
      <w:r>
        <w:rPr>
          <w:rFonts w:ascii="仿宋_GB2312" w:eastAsia="仿宋_GB2312" w:cs="仿宋_GB2312" w:hAnsi="仿宋"/>
        </w:rPr>
        <w:t>%</w:t>
      </w:r>
      <w:r>
        <w:rPr>
          <w:rFonts w:ascii="仿宋_GB2312" w:eastAsia="仿宋_GB2312" w:cs="仿宋_GB2312" w:hAnsi="仿宋" w:hint="eastAsia"/>
        </w:rPr>
        <w:t>。</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 w:hint="eastAsia"/>
          <w:lang w:val="en-US" w:eastAsia="zh-CN"/>
        </w:rPr>
      </w:pPr>
      <w:r>
        <w:rPr>
          <w:rFonts w:ascii="仿宋_GB2312" w:eastAsia="仿宋_GB2312" w:cs="仿宋_GB2312" w:hAnsi="仿宋" w:hint="eastAsia"/>
        </w:rPr>
        <w:t>原因：</w:t>
      </w:r>
      <w:r>
        <w:rPr>
          <w:rFonts w:ascii="仿宋_GB2312" w:eastAsia="仿宋_GB2312" w:cs="仿宋_GB2312" w:hAnsi="仿宋"/>
        </w:rPr>
        <w:t>1.</w:t>
      </w:r>
      <w:r>
        <w:rPr>
          <w:rFonts w:ascii="仿宋_GB2312" w:eastAsia="仿宋_GB2312" w:cs="仿宋_GB2312" w:hAnsi="仿宋" w:hint="eastAsia"/>
          <w:lang w:eastAsia="zh-CN"/>
        </w:rPr>
        <w:t>本年度</w:t>
      </w:r>
      <w:r>
        <w:rPr>
          <w:rFonts w:ascii="仿宋_GB2312" w:eastAsia="仿宋_GB2312" w:cs="仿宋_GB2312" w:hAnsi="仿宋"/>
          <w:lang w:eastAsia="zh-CN"/>
        </w:rPr>
        <w:t>较上年度减少一个专项经费</w:t>
      </w:r>
      <w:r>
        <w:rPr>
          <w:rFonts w:ascii="仿宋_GB2312" w:eastAsia="仿宋_GB2312" w:cs="仿宋_GB2312" w:hAnsi="仿宋" w:hint="eastAsia"/>
        </w:rPr>
        <w:t>；</w:t>
      </w:r>
      <w:r>
        <w:rPr>
          <w:rFonts w:ascii="仿宋_GB2312" w:eastAsia="仿宋_GB2312" w:cs="仿宋_GB2312" w:hAnsi="仿宋"/>
        </w:rPr>
        <w:t>2.</w:t>
      </w:r>
      <w:r>
        <w:rPr>
          <w:rFonts w:ascii="仿宋_GB2312" w:eastAsia="仿宋_GB2312" w:cs="仿宋_GB2312" w:hAnsi="仿宋" w:hint="eastAsia"/>
          <w:lang w:eastAsia="zh-CN"/>
        </w:rPr>
        <w:t>本年度人员异动较大，且工资福利标准较上年降低。</w:t>
      </w:r>
      <w:r>
        <w:rPr>
          <w:rFonts w:ascii="仿宋_GB2312" w:eastAsia="仿宋_GB2312" w:cs="仿宋_GB2312" w:hAnsi="仿宋"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_GB2312" w:hint="eastAsia"/>
          <w:b/>
          <w:bCs/>
        </w:rPr>
      </w:pPr>
      <w:r>
        <w:rPr>
          <w:rFonts w:ascii="仿宋_GB2312" w:eastAsia="仿宋_GB2312" w:cs="仿宋_GB2312" w:hAnsi="仿宋_GB2312" w:hint="eastAsia"/>
          <w:b/>
          <w:bCs/>
        </w:rPr>
        <w:t>3．支出按经济分类科目分析</w:t>
      </w:r>
    </w:p>
    <w:p>
      <w:pPr>
        <w:keepNext w:val="0"/>
        <w:keepLines w:val="0"/>
        <w:pageBreakBefore w:val="0"/>
        <w:widowControl w:val="0"/>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cs="仿宋_GB2312" w:hAnsi="仿宋"/>
          <w:b/>
          <w:bCs/>
        </w:rPr>
      </w:pPr>
      <w:r>
        <w:rPr>
          <w:rFonts w:ascii="仿宋_GB2312" w:eastAsia="仿宋_GB2312" w:cs="仿宋_GB2312" w:hAnsi="仿宋" w:hint="eastAsia"/>
          <w:b/>
          <w:bCs/>
        </w:rPr>
        <w:t>（1）“三公”经费支出情况：</w:t>
      </w:r>
    </w:p>
    <w:p>
      <w:pPr>
        <w:pStyle w:val="15"/>
        <w:keepNext/>
        <w:keepLines/>
        <w:pageBreakBefore w:val="0"/>
        <w:widowControl w:val="0"/>
        <w:bidi w:val="0"/>
        <w:spacing w:line="600" w:lineRule="exact"/>
        <w:rPr>
          <w:rStyle w:val="0"/>
          <w:rFonts w:ascii="仿宋_GB2312" w:eastAsia="仿宋_GB2312" w:cs="仿宋_GB2312" w:hAnsi="仿宋" w:hint="eastAsia"/>
          <w:b w:val="0"/>
        </w:rPr>
      </w:pPr>
      <w:r>
        <w:t xml:space="preserve">   </w:t>
      </w:r>
      <w:r>
        <w:rPr>
          <w:rStyle w:val="0"/>
          <w:rFonts w:ascii="仿宋_GB2312" w:eastAsia="仿宋_GB2312" w:cs="仿宋_GB2312" w:hAnsi="仿宋" w:hint="eastAsia"/>
          <w:b w:val="0"/>
        </w:rPr>
        <w:t>“三公”经费支出为0.15万元，本年度共发生公务接待2批，分别是省委办公厅考察遴选干部何浩鹏同志、市农业农村局考察遴选干部叶晨馨同志。</w:t>
      </w:r>
    </w:p>
    <w:p>
      <w:pPr>
        <w:keepNext w:val="0"/>
        <w:keepLines w:val="0"/>
        <w:pageBreakBefore w:val="0"/>
        <w:widowControl w:val="0"/>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hAnsi="仿宋" w:hint="eastAsia"/>
          <w:lang w:eastAsia="zh-CN"/>
        </w:rPr>
      </w:pPr>
      <w:r>
        <w:rPr>
          <w:rFonts w:ascii="仿宋_GB2312" w:eastAsia="仿宋_GB2312" w:cs="仿宋_GB2312" w:hAnsi="仿宋" w:hint="eastAsia"/>
          <w:b/>
          <w:bCs/>
          <w:lang w:eastAsia="zh-CN"/>
        </w:rPr>
        <w:t>（</w:t>
      </w:r>
      <w:r>
        <w:rPr>
          <w:rFonts w:ascii="仿宋_GB2312" w:eastAsia="仿宋_GB2312" w:cs="仿宋_GB2312" w:hAnsi="仿宋" w:hint="eastAsia"/>
          <w:b/>
          <w:bCs/>
          <w:lang w:val="en-US" w:eastAsia="zh-CN"/>
        </w:rPr>
        <w:t>2</w:t>
      </w:r>
      <w:r>
        <w:rPr>
          <w:rFonts w:ascii="仿宋_GB2312" w:eastAsia="仿宋_GB2312" w:cs="仿宋_GB2312" w:hAnsi="仿宋" w:hint="eastAsia"/>
          <w:b/>
          <w:bCs/>
          <w:lang w:eastAsia="zh-CN"/>
        </w:rPr>
        <w:t>）</w:t>
      </w:r>
      <w:r>
        <w:rPr>
          <w:rFonts w:ascii="仿宋_GB2312" w:eastAsia="仿宋_GB2312" w:cs="仿宋_GB2312" w:hAnsi="仿宋" w:hint="eastAsia"/>
          <w:b/>
          <w:bCs/>
        </w:rPr>
        <w:t>会议费支出情况：</w:t>
      </w:r>
      <w:r>
        <w:rPr>
          <w:rFonts w:ascii="仿宋_GB2312" w:eastAsia="仿宋_GB2312" w:cs="仿宋_GB2312" w:hAnsi="仿宋" w:hint="eastAsia"/>
          <w:lang w:eastAsia="zh-CN"/>
        </w:rPr>
        <w:t>无</w:t>
      </w:r>
    </w:p>
    <w:p>
      <w:pPr>
        <w:keepNext w:val="0"/>
        <w:keepLines w:val="0"/>
        <w:pageBreakBefore w:val="0"/>
        <w:widowControl w:val="0"/>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hAnsi="仿宋"/>
        </w:rPr>
      </w:pPr>
      <w:r>
        <w:rPr>
          <w:rFonts w:ascii="仿宋_GB2312" w:eastAsia="仿宋_GB2312" w:cs="仿宋_GB2312" w:hAnsi="仿宋" w:hint="eastAsia"/>
          <w:b/>
          <w:bCs/>
          <w:lang w:eastAsia="zh-CN"/>
        </w:rPr>
        <w:t>（</w:t>
      </w:r>
      <w:r>
        <w:rPr>
          <w:rFonts w:ascii="仿宋_GB2312" w:eastAsia="仿宋_GB2312" w:cs="仿宋_GB2312" w:hAnsi="仿宋" w:hint="eastAsia"/>
          <w:b/>
          <w:bCs/>
          <w:lang w:val="en-US" w:eastAsia="zh-CN"/>
        </w:rPr>
        <w:t>3</w:t>
      </w:r>
      <w:r>
        <w:rPr>
          <w:rFonts w:ascii="仿宋_GB2312" w:eastAsia="仿宋_GB2312" w:cs="仿宋_GB2312" w:hAnsi="仿宋" w:hint="eastAsia"/>
          <w:b/>
          <w:bCs/>
          <w:lang w:eastAsia="zh-CN"/>
        </w:rPr>
        <w:t>）</w:t>
      </w:r>
      <w:r>
        <w:rPr>
          <w:rFonts w:ascii="仿宋_GB2312" w:eastAsia="仿宋_GB2312" w:cs="仿宋_GB2312" w:hAnsi="仿宋" w:hint="eastAsia"/>
          <w:b/>
          <w:bCs/>
        </w:rPr>
        <w:t>培训费支出情况：</w:t>
      </w:r>
      <w:r>
        <w:rPr>
          <w:rFonts w:ascii="仿宋_GB2312" w:eastAsia="仿宋_GB2312" w:cs="仿宋_GB2312" w:hAnsi="仿宋" w:hint="eastAsia"/>
        </w:rPr>
        <w:t>无。</w:t>
      </w:r>
    </w:p>
    <w:p>
      <w:pPr>
        <w:keepNext w:val="0"/>
        <w:keepLines w:val="0"/>
        <w:pageBreakBefore w:val="0"/>
        <w:widowControl w:val="0"/>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hAnsi="仿宋"/>
        </w:rPr>
      </w:pPr>
      <w:r>
        <w:rPr>
          <w:rFonts w:ascii="仿宋_GB2312" w:eastAsia="仿宋_GB2312" w:cs="仿宋_GB2312" w:hAnsi="仿宋" w:hint="eastAsia"/>
          <w:b/>
          <w:bCs/>
          <w:lang w:eastAsia="zh-CN"/>
        </w:rPr>
        <w:t>（</w:t>
      </w:r>
      <w:r>
        <w:rPr>
          <w:rFonts w:ascii="仿宋_GB2312" w:eastAsia="仿宋_GB2312" w:cs="仿宋_GB2312" w:hAnsi="仿宋" w:hint="eastAsia"/>
          <w:b/>
          <w:bCs/>
          <w:lang w:val="en-US" w:eastAsia="zh-CN"/>
        </w:rPr>
        <w:t>4</w:t>
      </w:r>
      <w:r>
        <w:rPr>
          <w:rFonts w:ascii="仿宋_GB2312" w:eastAsia="仿宋_GB2312" w:cs="仿宋_GB2312" w:hAnsi="仿宋" w:hint="eastAsia"/>
          <w:b/>
          <w:bCs/>
          <w:lang w:eastAsia="zh-CN"/>
        </w:rPr>
        <w:t>）</w:t>
      </w:r>
      <w:r>
        <w:rPr>
          <w:rFonts w:ascii="仿宋_GB2312" w:eastAsia="仿宋_GB2312" w:cs="仿宋_GB2312" w:hAnsi="仿宋" w:hint="eastAsia"/>
          <w:b/>
          <w:bCs/>
        </w:rPr>
        <w:t>其他对部门影响较大的支出情况</w:t>
      </w:r>
      <w:r>
        <w:rPr>
          <w:rFonts w:ascii="仿宋_GB2312" w:eastAsia="仿宋_GB2312" w:cs="仿宋_GB2312" w:hAnsi="仿宋" w:hint="eastAsia"/>
          <w:b/>
          <w:bCs/>
          <w:lang w:eastAsia="zh-CN"/>
        </w:rPr>
        <w:t>：</w:t>
      </w:r>
      <w:r>
        <w:rPr>
          <w:rFonts w:ascii="仿宋_GB2312" w:eastAsia="仿宋_GB2312" w:cs="仿宋_GB2312" w:hAnsi="仿宋" w:hint="eastAsia"/>
        </w:rPr>
        <w:t>无。</w:t>
      </w:r>
    </w:p>
    <w:p>
      <w:pPr>
        <w:keepNext w:val="0"/>
        <w:keepLines w:val="0"/>
        <w:pageBreakBefore w:val="0"/>
        <w:widowControl w:val="0"/>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hAnsi="仿宋"/>
        </w:rPr>
      </w:pPr>
      <w:r>
        <w:rPr>
          <w:rFonts w:ascii="仿宋_GB2312" w:eastAsia="仿宋_GB2312" w:cs="仿宋_GB2312" w:hAnsi="仿宋" w:hint="eastAsia"/>
          <w:b/>
          <w:bCs/>
          <w:lang w:eastAsia="zh-CN"/>
        </w:rPr>
        <w:t>（</w:t>
      </w:r>
      <w:r>
        <w:rPr>
          <w:rFonts w:ascii="仿宋_GB2312" w:eastAsia="仿宋_GB2312" w:cs="仿宋_GB2312" w:hAnsi="仿宋" w:hint="eastAsia"/>
          <w:b/>
          <w:bCs/>
          <w:lang w:val="en-US" w:eastAsia="zh-CN"/>
        </w:rPr>
        <w:t>5</w:t>
      </w:r>
      <w:r>
        <w:rPr>
          <w:rFonts w:ascii="仿宋_GB2312" w:eastAsia="仿宋_GB2312" w:cs="仿宋_GB2312" w:hAnsi="仿宋" w:hint="eastAsia"/>
          <w:b/>
          <w:bCs/>
          <w:lang w:eastAsia="zh-CN"/>
        </w:rPr>
        <w:t>）</w:t>
      </w:r>
      <w:r>
        <w:rPr>
          <w:rFonts w:ascii="仿宋_GB2312" w:eastAsia="仿宋_GB2312" w:cs="仿宋_GB2312" w:hAnsi="仿宋" w:hint="eastAsia"/>
          <w:b/>
          <w:bCs/>
        </w:rPr>
        <w:t>重点经济分类支出中存在的问题及改进措施</w:t>
      </w:r>
      <w:r>
        <w:rPr>
          <w:rFonts w:ascii="仿宋_GB2312" w:eastAsia="仿宋_GB2312" w:cs="仿宋_GB2312" w:hAnsi="仿宋" w:hint="eastAsia"/>
          <w:b/>
          <w:bCs/>
          <w:lang w:eastAsia="zh-CN"/>
        </w:rPr>
        <w:t>：</w:t>
      </w:r>
      <w:r>
        <w:rPr>
          <w:rFonts w:ascii="仿宋_GB2312" w:eastAsia="仿宋_GB2312" w:cs="仿宋_GB2312" w:hAnsi="仿宋" w:hint="eastAsia"/>
        </w:rPr>
        <w:t>无。</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_GB2312" w:hint="eastAsia"/>
          <w:b/>
          <w:bCs/>
        </w:rPr>
      </w:pPr>
      <w:r>
        <w:rPr>
          <w:rFonts w:ascii="仿宋_GB2312" w:eastAsia="仿宋_GB2312" w:cs="仿宋_GB2312" w:hAnsi="仿宋_GB2312" w:hint="eastAsia"/>
          <w:b/>
          <w:bCs/>
        </w:rPr>
        <w:t>4.</w:t>
      </w:r>
      <w:r>
        <w:rPr>
          <w:rFonts w:ascii="仿宋_GB2312" w:eastAsia="仿宋_GB2312" w:cs="仿宋_GB2312" w:hAnsi="仿宋_GB2312" w:hint="eastAsia"/>
          <w:b/>
          <w:bCs/>
          <w:lang w:val="en-US" w:eastAsia="zh-CN"/>
        </w:rPr>
        <w:t xml:space="preserve"> </w:t>
      </w:r>
      <w:r>
        <w:rPr>
          <w:rFonts w:ascii="仿宋_GB2312" w:eastAsia="仿宋_GB2312" w:cs="仿宋_GB2312" w:hAnsi="仿宋_GB2312" w:hint="eastAsia"/>
          <w:b/>
          <w:bCs/>
        </w:rPr>
        <w:t>财政拨款收入、支出分析</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rPr>
      </w:pPr>
      <w:r>
        <w:rPr>
          <w:rFonts w:ascii="仿宋_GB2312" w:eastAsia="仿宋_GB2312" w:cs="仿宋_GB2312" w:hint="eastAsia"/>
          <w:lang w:eastAsia="zh-CN"/>
        </w:rPr>
        <w:t>202</w:t>
      </w:r>
      <w:r>
        <w:rPr>
          <w:rFonts w:ascii="仿宋_GB2312" w:eastAsia="仿宋_GB2312" w:cs="仿宋_GB2312"/>
          <w:lang w:eastAsia="zh-CN"/>
        </w:rPr>
        <w:t>3</w:t>
      </w:r>
      <w:r>
        <w:rPr>
          <w:rFonts w:ascii="仿宋_GB2312" w:eastAsia="仿宋_GB2312" w:cs="仿宋_GB2312" w:hint="eastAsia"/>
          <w:lang w:eastAsia="zh-CN"/>
        </w:rPr>
        <w:t>年</w:t>
      </w:r>
      <w:r>
        <w:rPr>
          <w:rFonts w:ascii="仿宋_GB2312" w:eastAsia="仿宋_GB2312" w:cs="仿宋_GB2312" w:hint="eastAsia"/>
        </w:rPr>
        <w:t>我单位收入为财政拨款（补助）收入，支出包括保障本机关单位基本运行的经费，也包括公务接待专项和日常事务专项经费。</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rPr>
      </w:pPr>
      <w:r>
        <w:rPr>
          <w:rFonts w:ascii="仿宋_GB2312" w:eastAsia="仿宋_GB2312" w:cs="仿宋_GB2312" w:hint="eastAsia"/>
        </w:rPr>
        <w:t>总体而言，财政拨款收入和支出收支平衡，基本支出所占比重大于项目支出，工资和福利支出在基本支出的占比最大，其次为项目支出，</w:t>
      </w:r>
      <w:r>
        <w:rPr>
          <w:rFonts w:ascii="仿宋_GB2312" w:eastAsia="仿宋_GB2312" w:cs="仿宋_GB2312" w:hint="eastAsia"/>
          <w:lang w:eastAsia="zh-CN"/>
        </w:rPr>
        <w:t>再次为</w:t>
      </w:r>
      <w:r>
        <w:rPr>
          <w:rFonts w:ascii="仿宋_GB2312" w:eastAsia="仿宋_GB2312" w:cs="仿宋_GB2312" w:hint="eastAsia"/>
        </w:rPr>
        <w:t>商品和服务支出。</w:t>
      </w:r>
    </w:p>
    <w:p>
      <w:pPr>
        <w:keepNext w:val="0"/>
        <w:keepLines w:val="0"/>
        <w:pageBreakBefore w:val="0"/>
        <w:widowControl w:val="0"/>
        <w:kinsoku/>
        <w:wordWrap/>
        <w:overflowPunct/>
        <w:topLinePunct w:val="0"/>
        <w:autoSpaceDE/>
        <w:autoSpaceDN/>
        <w:bidi w:val="0"/>
        <w:adjustRightInd/>
        <w:spacing w:line="600" w:lineRule="exact"/>
        <w:ind w:firstLineChars="196" w:firstLine="627"/>
        <w:textAlignment w:val="auto"/>
        <w:rPr>
          <w:rFonts w:ascii="仿宋_GB2312" w:eastAsia="仿宋_GB2312"/>
        </w:rPr>
      </w:pPr>
      <w:r>
        <w:rPr>
          <w:rFonts w:ascii="仿宋_GB2312" w:eastAsia="仿宋_GB2312" w:cs="仿宋_GB2312" w:hint="eastAsia"/>
          <w:b/>
          <w:bCs/>
          <w:lang w:eastAsia="zh-CN"/>
        </w:rPr>
        <w:t>（</w:t>
      </w:r>
      <w:r>
        <w:rPr>
          <w:rFonts w:ascii="仿宋_GB2312" w:eastAsia="仿宋_GB2312" w:cs="仿宋_GB2312" w:hint="eastAsia"/>
          <w:b/>
          <w:bCs/>
          <w:lang w:val="en-US" w:eastAsia="zh-CN"/>
        </w:rPr>
        <w:t>1</w:t>
      </w:r>
      <w:r>
        <w:rPr>
          <w:rFonts w:ascii="仿宋_GB2312" w:eastAsia="仿宋_GB2312" w:cs="仿宋_GB2312" w:hint="eastAsia"/>
          <w:b/>
          <w:bCs/>
          <w:lang w:eastAsia="zh-CN"/>
        </w:rPr>
        <w:t>）</w:t>
      </w:r>
      <w:r>
        <w:rPr>
          <w:rFonts w:ascii="仿宋_GB2312" w:eastAsia="仿宋_GB2312" w:cs="仿宋_GB2312" w:hint="eastAsia"/>
          <w:b w:val="0"/>
          <w:bCs w:val="0"/>
        </w:rPr>
        <w:t>收入决算，</w:t>
      </w:r>
      <w:r>
        <w:rPr>
          <w:rFonts w:ascii="仿宋_GB2312" w:eastAsia="仿宋_GB2312" w:cs="仿宋_GB2312" w:hint="eastAsia"/>
          <w:lang w:eastAsia="zh-CN"/>
        </w:rPr>
        <w:t>202</w:t>
      </w:r>
      <w:r>
        <w:rPr>
          <w:rFonts w:ascii="仿宋_GB2312" w:eastAsia="仿宋_GB2312" w:cs="仿宋_GB2312" w:hint="eastAsia"/>
          <w:lang w:val="en-US" w:eastAsia="zh-CN"/>
        </w:rPr>
        <w:t>3</w:t>
      </w:r>
      <w:r>
        <w:rPr>
          <w:rFonts w:ascii="仿宋_GB2312" w:eastAsia="仿宋_GB2312" w:cs="仿宋_GB2312" w:hint="eastAsia"/>
          <w:lang w:eastAsia="zh-CN"/>
        </w:rPr>
        <w:t>年</w:t>
      </w:r>
      <w:r>
        <w:rPr>
          <w:rFonts w:ascii="仿宋_GB2312" w:eastAsia="仿宋_GB2312" w:cs="仿宋_GB2312" w:hint="eastAsia"/>
        </w:rPr>
        <w:t>决算数</w:t>
      </w:r>
      <w:r>
        <w:rPr>
          <w:rFonts w:ascii="仿宋_GB2312" w:eastAsia="仿宋_GB2312" w:cs="仿宋_GB2312" w:hAnsi="仿宋" w:hint="eastAsia"/>
          <w:lang w:val="en-US" w:eastAsia="zh-CN"/>
        </w:rPr>
        <w:t>119.88</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w:t>
      </w:r>
      <w:r>
        <w:rPr>
          <w:rFonts w:ascii="仿宋_GB2312" w:eastAsia="仿宋_GB2312" w:cs="仿宋_GB2312" w:hint="eastAsia"/>
        </w:rPr>
        <w:t>其中，财政拨款（补助收入）</w:t>
      </w:r>
      <w:r>
        <w:rPr>
          <w:rFonts w:ascii="仿宋_GB2312" w:eastAsia="仿宋_GB2312" w:cs="仿宋_GB2312" w:hAnsi="仿宋" w:hint="eastAsia"/>
          <w:lang w:val="en-US" w:eastAsia="zh-CN"/>
        </w:rPr>
        <w:t>119.88</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int="eastAsia"/>
        </w:rPr>
        <w:t>。</w:t>
      </w:r>
    </w:p>
    <w:p>
      <w:pPr>
        <w:keepNext w:val="0"/>
        <w:keepLines w:val="0"/>
        <w:pageBreakBefore w:val="0"/>
        <w:widowControl w:val="0"/>
        <w:kinsoku/>
        <w:wordWrap/>
        <w:overflowPunct/>
        <w:topLinePunct w:val="0"/>
        <w:autoSpaceDE/>
        <w:autoSpaceDN/>
        <w:bidi w:val="0"/>
        <w:adjustRightInd/>
        <w:spacing w:line="600" w:lineRule="exact"/>
        <w:ind w:firstLineChars="196" w:firstLine="627"/>
        <w:textAlignment w:val="auto"/>
        <w:rPr>
          <w:rFonts w:ascii="仿宋_GB2312" w:eastAsia="仿宋_GB2312" w:cs="仿宋_GB2312" w:hint="eastAsia"/>
        </w:rPr>
      </w:pPr>
      <w:r>
        <w:rPr>
          <w:rFonts w:ascii="仿宋_GB2312" w:eastAsia="仿宋_GB2312" w:cs="仿宋_GB2312" w:hint="eastAsia"/>
          <w:b/>
          <w:bCs/>
          <w:lang w:eastAsia="zh-CN"/>
        </w:rPr>
        <w:t>（</w:t>
      </w:r>
      <w:r>
        <w:rPr>
          <w:rFonts w:ascii="仿宋_GB2312" w:eastAsia="仿宋_GB2312" w:cs="仿宋_GB2312" w:hint="eastAsia"/>
          <w:b/>
          <w:bCs/>
          <w:lang w:val="en-US" w:eastAsia="zh-CN"/>
        </w:rPr>
        <w:t>2</w:t>
      </w:r>
      <w:r>
        <w:rPr>
          <w:rFonts w:ascii="仿宋_GB2312" w:eastAsia="仿宋_GB2312" w:cs="仿宋_GB2312" w:hint="eastAsia"/>
          <w:b/>
          <w:bCs/>
          <w:lang w:eastAsia="zh-CN"/>
        </w:rPr>
        <w:t>）</w:t>
      </w:r>
      <w:r>
        <w:rPr>
          <w:rFonts w:ascii="仿宋_GB2312" w:eastAsia="仿宋_GB2312" w:cs="仿宋_GB2312" w:hAnsi="宋体" w:hint="eastAsia"/>
        </w:rPr>
        <w:t>①</w:t>
      </w:r>
      <w:r>
        <w:rPr>
          <w:rFonts w:ascii="仿宋_GB2312" w:eastAsia="仿宋_GB2312" w:cs="仿宋_GB2312" w:hint="eastAsia"/>
        </w:rPr>
        <w:t>基本支出：</w:t>
      </w:r>
      <w:r>
        <w:rPr>
          <w:rFonts w:ascii="仿宋_GB2312" w:eastAsia="仿宋_GB2312" w:cs="仿宋_GB2312" w:hint="eastAsia"/>
          <w:lang w:eastAsia="zh-CN"/>
        </w:rPr>
        <w:t>202</w:t>
      </w:r>
      <w:r>
        <w:rPr>
          <w:rFonts w:ascii="仿宋_GB2312" w:eastAsia="仿宋_GB2312" w:cs="仿宋_GB2312" w:hint="eastAsia"/>
          <w:lang w:val="en-US" w:eastAsia="zh-CN"/>
        </w:rPr>
        <w:t>3</w:t>
      </w:r>
      <w:r>
        <w:rPr>
          <w:rFonts w:ascii="仿宋_GB2312" w:eastAsia="仿宋_GB2312" w:cs="仿宋_GB2312" w:hint="eastAsia"/>
          <w:lang w:eastAsia="zh-CN"/>
        </w:rPr>
        <w:t>年</w:t>
      </w:r>
      <w:r>
        <w:rPr>
          <w:rFonts w:ascii="仿宋_GB2312" w:eastAsia="仿宋_GB2312" w:cs="仿宋_GB2312" w:hint="eastAsia"/>
        </w:rPr>
        <w:t>决算数为</w:t>
      </w:r>
      <w:r>
        <w:rPr>
          <w:rFonts w:ascii="仿宋_GB2312" w:eastAsia="仿宋_GB2312" w:cs="仿宋_GB2312" w:hAnsi="仿宋" w:hint="eastAsia"/>
          <w:lang w:val="en-US" w:eastAsia="zh-CN"/>
        </w:rPr>
        <w:t>96.6</w:t>
      </w:r>
      <w:r>
        <w:rPr>
          <w:rFonts w:ascii="仿宋_GB2312" w:eastAsia="仿宋_GB2312" w:cs="仿宋_GB2312" w:hAnsi="仿宋" w:hint="eastAsia"/>
        </w:rPr>
        <w:t>万</w:t>
      </w:r>
      <w:r>
        <w:rPr>
          <w:rFonts w:ascii="仿宋_GB2312" w:eastAsia="仿宋_GB2312" w:cs="仿宋_GB2312" w:hAnsi="仿宋" w:hint="eastAsia"/>
          <w:lang w:eastAsia="zh-CN"/>
        </w:rPr>
        <w:t>元</w:t>
      </w:r>
      <w:r>
        <w:rPr>
          <w:rFonts w:ascii="仿宋_GB2312" w:eastAsia="仿宋_GB2312" w:cs="仿宋_GB2312" w:hAnsi="仿宋" w:hint="eastAsia"/>
        </w:rPr>
        <w:t>，</w:t>
      </w:r>
      <w:r>
        <w:rPr>
          <w:rFonts w:ascii="仿宋_GB2312" w:eastAsia="仿宋_GB2312" w:cs="仿宋_GB2312" w:hint="eastAsia"/>
        </w:rPr>
        <w:t>是指为保障单位机构运转、完成日常工作任务而发生的各项支出，包括基本工资、津贴补贴等人员经费以及办公费、印刷费、水电费、办公设备购置等日常公用经费。</w:t>
      </w:r>
    </w:p>
    <w:p>
      <w:pPr>
        <w:keepNext w:val="0"/>
        <w:keepLines w:val="0"/>
        <w:pageBreakBefore w:val="0"/>
        <w:widowControl w:val="0"/>
        <w:kinsoku/>
        <w:wordWrap/>
        <w:overflowPunct/>
        <w:topLinePunct w:val="0"/>
        <w:autoSpaceDE/>
        <w:autoSpaceDN/>
        <w:bidi w:val="0"/>
        <w:adjustRightInd/>
        <w:spacing w:line="600" w:lineRule="exact"/>
        <w:ind w:firstLineChars="196" w:firstLine="627"/>
        <w:textAlignment w:val="auto"/>
        <w:rPr>
          <w:rFonts w:ascii="仿宋_GB2312" w:eastAsia="仿宋_GB2312" w:cs="仿宋_GB2312" w:hint="eastAsia"/>
          <w:lang w:val="en-US" w:eastAsia="zh-CN"/>
        </w:rPr>
      </w:pPr>
      <w:r>
        <w:rPr>
          <w:rFonts w:ascii="仿宋_GB2312" w:eastAsia="仿宋_GB2312" w:cs="仿宋_GB2312" w:hAnsi="宋体" w:hint="eastAsia"/>
        </w:rPr>
        <w:t>②</w:t>
      </w:r>
      <w:r>
        <w:rPr>
          <w:rFonts w:ascii="仿宋_GB2312" w:eastAsia="仿宋_GB2312" w:cs="仿宋_GB2312" w:hint="eastAsia"/>
        </w:rPr>
        <w:t>项目支出：</w:t>
      </w:r>
      <w:r>
        <w:rPr>
          <w:rFonts w:ascii="仿宋_GB2312" w:eastAsia="仿宋_GB2312" w:cs="仿宋_GB2312" w:hint="eastAsia"/>
          <w:lang w:eastAsia="zh-CN"/>
        </w:rPr>
        <w:t>202</w:t>
      </w:r>
      <w:r>
        <w:rPr>
          <w:rFonts w:ascii="仿宋_GB2312" w:eastAsia="仿宋_GB2312" w:cs="仿宋_GB2312" w:hint="eastAsia"/>
          <w:lang w:val="en-US" w:eastAsia="zh-CN"/>
        </w:rPr>
        <w:t>3</w:t>
      </w:r>
      <w:r>
        <w:rPr>
          <w:rFonts w:ascii="仿宋_GB2312" w:eastAsia="仿宋_GB2312" w:cs="仿宋_GB2312" w:hint="eastAsia"/>
          <w:lang w:eastAsia="zh-CN"/>
        </w:rPr>
        <w:t>年</w:t>
      </w:r>
      <w:r>
        <w:rPr>
          <w:rFonts w:ascii="仿宋_GB2312" w:eastAsia="仿宋_GB2312" w:cs="仿宋_GB2312" w:hint="eastAsia"/>
        </w:rPr>
        <w:t>决算数为</w:t>
      </w:r>
      <w:r>
        <w:rPr>
          <w:rFonts w:ascii="仿宋_GB2312" w:eastAsia="仿宋_GB2312" w:cs="仿宋_GB2312" w:hAnsi="仿宋" w:hint="eastAsia"/>
          <w:lang w:val="en-US" w:eastAsia="zh-CN"/>
        </w:rPr>
        <w:t>23.28</w:t>
      </w:r>
      <w:r>
        <w:rPr>
          <w:rFonts w:ascii="仿宋_GB2312" w:eastAsia="仿宋_GB2312" w:cs="仿宋_GB2312" w:hint="eastAsia"/>
        </w:rPr>
        <w:t>万元，是指单位为完成特定行政工作或事业发展目标而发生的支出，主要用于公务接待及相关工作</w:t>
      </w:r>
      <w:r>
        <w:rPr>
          <w:rFonts w:ascii="仿宋_GB2312" w:eastAsia="仿宋_GB2312" w:cs="仿宋_GB2312" w:hint="eastAsia"/>
          <w:lang w:eastAsia="zh-CN"/>
        </w:rPr>
        <w:t>、突发性事件后勤保障等。</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 w:hint="eastAsia"/>
          <w:color w:val="000000"/>
          <w:lang w:eastAsia="zh-CN"/>
        </w:rPr>
      </w:pPr>
      <w:r>
        <w:rPr>
          <w:rFonts w:ascii="仿宋_GB2312" w:eastAsia="仿宋_GB2312" w:cs="仿宋_GB2312" w:hAnsi="仿宋_GB2312" w:hint="eastAsia"/>
          <w:b/>
          <w:bCs/>
        </w:rPr>
        <w:t>5.</w:t>
      </w:r>
      <w:r>
        <w:rPr>
          <w:rFonts w:ascii="仿宋_GB2312" w:eastAsia="仿宋_GB2312" w:cs="仿宋_GB2312" w:hAnsi="仿宋_GB2312" w:hint="eastAsia"/>
          <w:b/>
          <w:bCs/>
          <w:lang w:val="en-US" w:eastAsia="zh-CN"/>
        </w:rPr>
        <w:t xml:space="preserve"> </w:t>
      </w:r>
      <w:r>
        <w:rPr>
          <w:rFonts w:ascii="仿宋_GB2312" w:eastAsia="仿宋_GB2312" w:cs="仿宋_GB2312" w:hAnsi="仿宋_GB2312" w:hint="eastAsia"/>
          <w:b/>
          <w:bCs/>
        </w:rPr>
        <w:t>非财政拨款收入分析</w:t>
      </w:r>
      <w:r>
        <w:rPr>
          <w:rFonts w:ascii="仿宋_GB2312" w:eastAsia="仿宋_GB2312" w:cs="仿宋_GB2312" w:hAnsi="仿宋_GB2312" w:hint="eastAsia"/>
          <w:b/>
          <w:bCs/>
          <w:lang w:eastAsia="zh-CN"/>
        </w:rPr>
        <w:t>：</w:t>
      </w:r>
      <w:r>
        <w:rPr>
          <w:rFonts w:ascii="仿宋_GB2312" w:eastAsia="仿宋_GB2312" w:cs="仿宋_GB2312" w:hint="eastAsia"/>
          <w:lang w:eastAsia="zh-CN"/>
        </w:rPr>
        <w:t>无。</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cs="楷体_GB2312" w:hAnsi="仿宋" w:hint="eastAsia"/>
          <w:b w:val="0"/>
          <w:bCs w:val="0"/>
        </w:rPr>
      </w:pPr>
      <w:r>
        <w:rPr>
          <w:rFonts w:ascii="楷体_GB2312" w:eastAsia="楷体_GB2312" w:cs="楷体_GB2312" w:hAnsi="仿宋" w:hint="eastAsia"/>
          <w:b w:val="0"/>
          <w:bCs w:val="0"/>
        </w:rPr>
        <w:t>（三）年末结转和结余情况</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 w:hint="eastAsia"/>
        </w:rPr>
      </w:pPr>
      <w:r>
        <w:rPr>
          <w:rFonts w:ascii="仿宋_GB2312" w:eastAsia="仿宋_GB2312" w:cs="仿宋_GB2312" w:hAnsi="仿宋"/>
        </w:rPr>
        <w:t>1</w:t>
      </w:r>
      <w:r>
        <w:rPr>
          <w:rFonts w:ascii="仿宋_GB2312" w:eastAsia="仿宋_GB2312" w:cs="仿宋_GB2312" w:hAnsi="仿宋" w:hint="eastAsia"/>
        </w:rPr>
        <w:t>．根据报表项目分财政拨款结转结余和非财政拨款结转结余分析年末结转结余总体情况。按照资金来源、资金性质、单位分析，特别是项目经费结转和结余情况。</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hAnsi="仿宋"/>
        </w:rPr>
      </w:pPr>
      <w:r>
        <w:rPr>
          <w:rFonts w:ascii="仿宋_GB2312" w:eastAsia="仿宋_GB2312" w:cs="仿宋_GB2312" w:hAnsi="仿宋" w:hint="eastAsia"/>
        </w:rPr>
        <w:t>无</w:t>
      </w:r>
    </w:p>
    <w:p>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left="0" w:firstLineChars="200" w:firstLine="640"/>
        <w:textAlignment w:val="auto"/>
        <w:rPr>
          <w:rFonts w:ascii="仿宋_GB2312" w:eastAsia="仿宋_GB2312" w:hAnsi="仿宋"/>
        </w:rPr>
      </w:pPr>
      <w:r>
        <w:rPr>
          <w:rFonts w:ascii="仿宋_GB2312" w:eastAsia="仿宋_GB2312" w:cs="仿宋_GB2312" w:hAnsi="仿宋" w:hint="eastAsia"/>
        </w:rPr>
        <w:t>消化结转和结余的对策。</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hAnsi="仿宋"/>
        </w:rPr>
      </w:pPr>
      <w:r>
        <w:rPr>
          <w:rFonts w:ascii="仿宋_GB2312" w:eastAsia="仿宋_GB2312" w:cs="仿宋_GB2312" w:hAnsi="仿宋" w:hint="eastAsia"/>
        </w:rPr>
        <w:t>无</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cs="楷体_GB2312" w:hAnsi="仿宋" w:hint="eastAsia"/>
          <w:b w:val="0"/>
          <w:bCs w:val="0"/>
        </w:rPr>
      </w:pPr>
      <w:r>
        <w:rPr>
          <w:rFonts w:ascii="楷体_GB2312" w:eastAsia="楷体_GB2312" w:cs="楷体_GB2312" w:hAnsi="仿宋" w:hint="eastAsia"/>
          <w:b w:val="0"/>
          <w:bCs w:val="0"/>
        </w:rPr>
        <w:t>（四）与预算支出相关的其他指标分析</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 w:hint="eastAsia"/>
        </w:rPr>
      </w:pPr>
      <w:r>
        <w:rPr>
          <w:rFonts w:ascii="仿宋_GB2312" w:eastAsia="仿宋_GB2312" w:cs="仿宋_GB2312" w:hAnsi="仿宋" w:hint="eastAsia"/>
        </w:rPr>
        <w:t>202</w:t>
      </w:r>
      <w:r>
        <w:rPr>
          <w:rFonts w:ascii="仿宋_GB2312" w:eastAsia="仿宋_GB2312" w:cs="仿宋_GB2312" w:hAnsi="仿宋" w:hint="eastAsia"/>
          <w:lang w:val="en-US"/>
        </w:rPr>
        <w:t>3</w:t>
      </w:r>
      <w:r>
        <w:rPr>
          <w:rFonts w:ascii="仿宋_GB2312" w:eastAsia="仿宋_GB2312" w:cs="仿宋_GB2312" w:hAnsi="仿宋" w:hint="eastAsia"/>
        </w:rPr>
        <w:t>年固定资产购置费0.88万元。其中笔记本电脑一台0.68万元、打印机一台0.2万元</w:t>
      </w:r>
      <w:r>
        <w:rPr>
          <w:rFonts w:ascii="仿宋_GB2312" w:eastAsia="仿宋_GB2312" w:cs="仿宋_GB2312" w:hAnsi="仿宋" w:hint="eastAsia"/>
          <w:lang w:val="en-US"/>
        </w:rPr>
        <w:t>。</w:t>
      </w:r>
      <w:r>
        <w:rPr>
          <w:rFonts w:ascii="仿宋_GB2312" w:eastAsia="仿宋_GB2312" w:cs="仿宋_GB2312" w:hAnsi="仿宋" w:hint="eastAsia"/>
        </w:rPr>
        <w:t>固定资产期初原值为</w:t>
      </w:r>
      <w:r>
        <w:rPr>
          <w:rFonts w:ascii="仿宋_GB2312" w:eastAsia="仿宋_GB2312" w:cs="仿宋_GB2312" w:hAnsi="仿宋" w:hint="eastAsia"/>
          <w:lang w:val="en-US"/>
        </w:rPr>
        <w:t>17.07</w:t>
      </w:r>
      <w:r>
        <w:rPr>
          <w:rFonts w:ascii="仿宋_GB2312" w:eastAsia="仿宋_GB2312" w:cs="仿宋_GB2312" w:hAnsi="仿宋" w:hint="eastAsia"/>
        </w:rPr>
        <w:t>万元，净值为4.47万元；期末原值为</w:t>
      </w:r>
      <w:r>
        <w:rPr>
          <w:rFonts w:ascii="仿宋_GB2312" w:eastAsia="仿宋_GB2312" w:cs="仿宋_GB2312" w:hAnsi="仿宋" w:hint="eastAsia"/>
          <w:lang w:val="en-US"/>
        </w:rPr>
        <w:t>18.84万元，净值为4.97万元</w:t>
      </w:r>
      <w:r>
        <w:rPr>
          <w:rFonts w:ascii="仿宋_GB2312" w:eastAsia="仿宋_GB2312" w:cs="仿宋_GB2312" w:hAnsi="仿宋" w:hint="eastAsia"/>
        </w:rPr>
        <w:t>。无无形资产。</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hAnsi="仿宋"/>
        </w:rPr>
      </w:pPr>
      <w:r>
        <w:rPr>
          <w:rFonts w:ascii="仿宋_GB2312" w:eastAsia="仿宋_GB2312" w:cs="仿宋_GB2312" w:hAnsi="仿宋" w:hint="eastAsia"/>
        </w:rPr>
        <w:t>本单位无负债情况。</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cs="楷体_GB2312" w:hAnsi="仿宋" w:hint="eastAsia"/>
          <w:b w:val="0"/>
          <w:bCs w:val="0"/>
        </w:rPr>
      </w:pPr>
      <w:r>
        <w:rPr>
          <w:rFonts w:ascii="楷体_GB2312" w:eastAsia="楷体_GB2312" w:cs="楷体_GB2312" w:hAnsi="仿宋" w:hint="eastAsia"/>
          <w:b w:val="0"/>
          <w:bCs w:val="0"/>
        </w:rPr>
        <w:t>（五）绩效目标完成情况</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
          <w:lang w:val="en-US" w:eastAsia="zh-CN"/>
        </w:rPr>
      </w:pPr>
      <w:r>
        <w:rPr>
          <w:rFonts w:ascii="仿宋_GB2312" w:eastAsia="仿宋_GB2312" w:cs="仿宋_GB2312" w:hAnsi="仿宋" w:hint="eastAsia"/>
        </w:rPr>
        <w:t>1.</w:t>
      </w:r>
      <w:r>
        <w:rPr>
          <w:rFonts w:ascii="仿宋_GB2312" w:eastAsia="仿宋_GB2312" w:cs="仿宋_GB2312" w:hAnsi="仿宋" w:hint="eastAsia"/>
          <w:lang w:eastAsia="zh-CN"/>
        </w:rPr>
        <w:t>202</w:t>
      </w:r>
      <w:r>
        <w:rPr>
          <w:rFonts w:ascii="仿宋_GB2312" w:eastAsia="仿宋_GB2312" w:cs="仿宋_GB2312" w:hAnsi="仿宋" w:hint="eastAsia"/>
          <w:lang w:val="en-US" w:eastAsia="zh-CN"/>
        </w:rPr>
        <w:t>3</w:t>
      </w:r>
      <w:r>
        <w:rPr>
          <w:rFonts w:ascii="仿宋_GB2312" w:eastAsia="仿宋_GB2312" w:cs="仿宋_GB2312" w:hAnsi="仿宋" w:hint="eastAsia"/>
          <w:lang w:eastAsia="zh-CN"/>
        </w:rPr>
        <w:t>年</w:t>
      </w:r>
      <w:r>
        <w:rPr>
          <w:rFonts w:ascii="仿宋_GB2312" w:eastAsia="仿宋_GB2312" w:cs="仿宋_GB2312" w:hAnsi="仿宋" w:hint="eastAsia"/>
        </w:rPr>
        <w:t>设立了</w:t>
      </w:r>
      <w:r>
        <w:rPr>
          <w:rFonts w:ascii="仿宋_GB2312" w:eastAsia="仿宋_GB2312" w:cs="仿宋_GB2312" w:hAnsi="仿宋"/>
          <w:lang w:eastAsia="zh-CN"/>
        </w:rPr>
        <w:t>两</w:t>
      </w:r>
      <w:r>
        <w:rPr>
          <w:rFonts w:ascii="仿宋_GB2312" w:eastAsia="仿宋_GB2312" w:cs="仿宋_GB2312" w:hAnsi="仿宋" w:hint="eastAsia"/>
        </w:rPr>
        <w:t>个专项，</w:t>
      </w:r>
      <w:r>
        <w:rPr>
          <w:rFonts w:ascii="仿宋_GB2312" w:eastAsia="仿宋_GB2312" w:cs="仿宋_GB2312" w:hAnsi="仿宋" w:hint="eastAsia"/>
          <w:lang w:eastAsia="zh-CN"/>
        </w:rPr>
        <w:t>即</w:t>
      </w:r>
      <w:r>
        <w:rPr>
          <w:rFonts w:ascii="仿宋_GB2312" w:eastAsia="仿宋_GB2312" w:cs="仿宋_GB2312" w:hAnsi="仿宋" w:hint="eastAsia"/>
        </w:rPr>
        <w:t>公务接待专项</w:t>
      </w:r>
      <w:r>
        <w:rPr>
          <w:rFonts w:ascii="仿宋_GB2312" w:eastAsia="仿宋_GB2312" w:cs="仿宋_GB2312" w:hAnsi="仿宋" w:hint="eastAsia"/>
          <w:lang w:eastAsia="zh-CN"/>
        </w:rPr>
        <w:t>、</w:t>
      </w:r>
      <w:r>
        <w:rPr>
          <w:rFonts w:ascii="仿宋_GB2312" w:eastAsia="仿宋_GB2312" w:cs="仿宋_GB2312" w:hAnsi="仿宋" w:hint="eastAsia"/>
        </w:rPr>
        <w:t>日常事务专项</w:t>
      </w:r>
      <w:r>
        <w:rPr>
          <w:rFonts w:ascii="仿宋_GB2312" w:eastAsia="仿宋_GB2312" w:cs="仿宋_GB2312" w:hAnsi="仿宋" w:hint="eastAsia"/>
          <w:lang w:eastAsia="zh-CN"/>
        </w:rPr>
        <w:t>和信访帮扶救助和积案化解专项</w:t>
      </w:r>
      <w:r>
        <w:rPr>
          <w:rFonts w:ascii="仿宋_GB2312" w:eastAsia="仿宋_GB2312" w:cs="仿宋_GB2312" w:hAnsi="仿宋" w:hint="eastAsia"/>
        </w:rPr>
        <w:t>，是单位为完成特定行政工作任务或事业发展目标而发生的支出。其中：公务接待专项支出</w:t>
      </w:r>
      <w:r>
        <w:rPr>
          <w:rFonts w:ascii="仿宋_GB2312" w:eastAsia="仿宋_GB2312" w:cs="仿宋_GB2312" w:hAnsi="仿宋" w:hint="eastAsia"/>
          <w:lang w:val="en-US" w:eastAsia="zh-CN"/>
        </w:rPr>
        <w:t>1.72</w:t>
      </w:r>
      <w:r>
        <w:rPr>
          <w:rFonts w:ascii="仿宋_GB2312" w:eastAsia="仿宋_GB2312" w:cs="仿宋_GB2312" w:hAnsi="仿宋" w:hint="eastAsia"/>
        </w:rPr>
        <w:t>万元，主要用于区本级的公务接待及重大活动会议有关支出；日常事务专项支出</w:t>
      </w:r>
      <w:r>
        <w:rPr>
          <w:rFonts w:ascii="仿宋_GB2312" w:eastAsia="仿宋_GB2312" w:cs="仿宋_GB2312" w:hAnsi="仿宋" w:hint="eastAsia"/>
          <w:lang w:val="en-US" w:eastAsia="zh-CN"/>
        </w:rPr>
        <w:t>18.09</w:t>
      </w:r>
      <w:r>
        <w:rPr>
          <w:rFonts w:ascii="仿宋_GB2312" w:eastAsia="仿宋_GB2312" w:cs="仿宋_GB2312" w:hAnsi="仿宋" w:hint="eastAsia"/>
        </w:rPr>
        <w:t>万元，主要用于除全区公务接待以外其他中心工作有关支出</w:t>
      </w:r>
      <w:r>
        <w:rPr>
          <w:rFonts w:ascii="仿宋_GB2312" w:eastAsia="仿宋_GB2312" w:cs="仿宋_GB2312" w:hAnsi="仿宋" w:hint="eastAsia"/>
          <w:lang w:eastAsia="zh-CN"/>
        </w:rPr>
        <w:t>；信访帮扶救助和积案化解专项支出</w:t>
      </w:r>
      <w:r>
        <w:rPr>
          <w:rFonts w:ascii="仿宋_GB2312" w:eastAsia="仿宋_GB2312" w:cs="仿宋_GB2312" w:hAnsi="仿宋" w:hint="eastAsia"/>
          <w:lang w:val="en-US" w:eastAsia="zh-CN"/>
        </w:rPr>
        <w:t>3.47万元，主要用于区本级信访相关支出。</w:t>
      </w:r>
    </w:p>
    <w:p>
      <w:pPr>
        <w:snapToGrid w:val="0"/>
        <w:spacing w:line="600" w:lineRule="exact"/>
        <w:ind w:firstLineChars="200" w:firstLine="640"/>
        <w:rPr>
          <w:rFonts w:ascii="仿宋_GB2312" w:eastAsia="仿宋_GB2312" w:cs="仿宋_GB2312" w:hAnsi="仿宋" w:hint="eastAsia"/>
          <w:lang w:eastAsia="zh-CN"/>
        </w:rPr>
      </w:pPr>
      <w:r>
        <w:rPr>
          <w:rFonts w:ascii="仿宋_GB2312" w:eastAsia="仿宋_GB2312" w:cs="仿宋_GB2312" w:hAnsi="仿宋" w:hint="eastAsia"/>
        </w:rPr>
        <w:t>2.概述下属单位整体支出绩效目标实现情况</w:t>
      </w:r>
      <w:r>
        <w:rPr>
          <w:rFonts w:ascii="仿宋_GB2312" w:eastAsia="仿宋_GB2312" w:cs="仿宋_GB2312" w:hAnsi="仿宋" w:hint="eastAsia"/>
          <w:lang w:eastAsia="zh-CN"/>
        </w:rPr>
        <w:t>：无。</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仿宋_GB2312" w:eastAsia="仿宋_GB2312" w:cs="仿宋_GB2312" w:hAnsi="仿宋" w:hint="eastAsia"/>
        </w:rPr>
      </w:pPr>
      <w:r>
        <w:rPr>
          <w:rFonts w:ascii="仿宋_GB2312" w:eastAsia="仿宋_GB2312" w:cs="仿宋_GB2312" w:hAnsi="仿宋" w:hint="eastAsia"/>
          <w:lang w:val="en-US" w:eastAsia="zh-CN"/>
        </w:rPr>
        <w:t>3</w:t>
      </w:r>
      <w:r>
        <w:rPr>
          <w:rFonts w:ascii="仿宋_GB2312" w:eastAsia="仿宋_GB2312" w:cs="仿宋_GB2312" w:hAnsi="仿宋" w:hint="eastAsia"/>
        </w:rPr>
        <w:t>.绩效评价情况</w:t>
      </w:r>
      <w:r>
        <w:rPr>
          <w:rFonts w:ascii="仿宋_GB2312" w:eastAsia="仿宋_GB2312" w:cs="仿宋_GB2312" w:hAnsi="仿宋" w:hint="eastAsia"/>
          <w:lang w:eastAsia="zh-CN"/>
        </w:rPr>
        <w:t>：</w:t>
      </w:r>
      <w:r>
        <w:rPr>
          <w:rFonts w:ascii="仿宋_GB2312" w:eastAsia="仿宋_GB2312" w:cs="仿宋_GB2312" w:hAnsi="仿宋" w:hint="eastAsia"/>
        </w:rPr>
        <w:t>在可持续发展方面，区接待中心着眼新形势新任务，从有利公务、务实节俭的原则出发，不断提高我区公务接待工作服务水平。在社会效益方面，区接待中心以接待为桥梁全面展现望城经济发展变化，通过多种宣传方式和媒介</w:t>
      </w:r>
      <w:r>
        <w:rPr>
          <w:rFonts w:ascii="仿宋_GB2312" w:eastAsia="仿宋_GB2312" w:cs="仿宋_GB2312" w:hAnsi="仿宋" w:hint="eastAsia"/>
          <w:lang w:eastAsia="zh-CN"/>
        </w:rPr>
        <w:t>，</w:t>
      </w:r>
      <w:r>
        <w:rPr>
          <w:rFonts w:ascii="仿宋_GB2312" w:eastAsia="仿宋_GB2312" w:cs="仿宋_GB2312" w:hAnsi="仿宋" w:hint="eastAsia"/>
        </w:rPr>
        <w:t>向来宾推介望城经济社会发展成果，让来宾留下美好印象。在成本指标方面，确保每次公务接待标准符合中央省市区有关政策规定，公务接待费人均不超过有关规定标准。在制度建设方面，完善机关制度和内控制度建设，合理、科学、高效利用资金。为加快建设美丽强盛幸福的现代化新望城作出新的更大贡献。</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cs="楷体_GB2312" w:hAnsi="仿宋" w:hint="eastAsia"/>
        </w:rPr>
      </w:pPr>
      <w:r>
        <w:rPr>
          <w:rFonts w:ascii="楷体_GB2312" w:eastAsia="楷体_GB2312" w:cs="楷体_GB2312" w:hAnsi="仿宋" w:hint="eastAsia"/>
        </w:rPr>
        <w:t>（六）当年预算执行及绩效管理中存在问题、原因及改进措施</w:t>
      </w:r>
    </w:p>
    <w:p>
      <w:pPr>
        <w:keepNext w:val="0"/>
        <w:keepLines w:val="0"/>
        <w:pageBreakBefore w:val="0"/>
        <w:widowControl w:val="0"/>
        <w:kinsoku/>
        <w:wordWrap/>
        <w:overflowPunct/>
        <w:topLinePunct w:val="0"/>
        <w:autoSpaceDE/>
        <w:autoSpaceDN/>
        <w:bidi w:val="0"/>
        <w:adjustRightInd/>
        <w:spacing w:line="600" w:lineRule="exact"/>
        <w:ind w:firstLine="660"/>
        <w:jc w:val="left"/>
        <w:textAlignment w:val="auto"/>
        <w:rPr>
          <w:rFonts w:ascii="仿宋_GB2312" w:eastAsia="仿宋_GB2312" w:cs="仿宋_GB2312" w:hAnsi="仿宋" w:hint="eastAsia"/>
        </w:rPr>
      </w:pPr>
      <w:r>
        <w:rPr>
          <w:rFonts w:ascii="仿宋_GB2312" w:eastAsia="仿宋_GB2312" w:cs="仿宋_GB2312" w:hAnsi="仿宋" w:hint="eastAsia"/>
        </w:rPr>
        <w:t>存在的问题是预算编制和预算执行存在一定差异，原因是</w:t>
      </w:r>
      <w:r>
        <w:rPr>
          <w:rFonts w:ascii="仿宋_GB2312" w:eastAsia="仿宋_GB2312" w:cs="仿宋_GB2312" w:hAnsi="仿宋" w:hint="eastAsia"/>
          <w:lang w:eastAsia="zh-CN"/>
        </w:rPr>
        <w:t>2023年，我单位持续贯彻落实八项规定精神，进一步规范日常事务及公务接待流程</w:t>
      </w:r>
      <w:r>
        <w:rPr>
          <w:rFonts w:ascii="仿宋_GB2312" w:eastAsia="仿宋_GB2312" w:cs="仿宋_GB2312" w:hAnsi="仿宋" w:hint="eastAsia"/>
        </w:rPr>
        <w:t>，公务接待专项</w:t>
      </w:r>
      <w:r>
        <w:rPr>
          <w:rFonts w:ascii="仿宋_GB2312" w:eastAsia="仿宋_GB2312" w:cs="仿宋_GB2312" w:hAnsi="仿宋" w:hint="eastAsia"/>
          <w:lang w:eastAsia="zh-CN"/>
        </w:rPr>
        <w:t>费用使用率低</w:t>
      </w:r>
      <w:r>
        <w:rPr>
          <w:rFonts w:ascii="仿宋_GB2312" w:eastAsia="仿宋_GB2312" w:cs="仿宋_GB2312" w:hAnsi="仿宋" w:hint="eastAsia"/>
        </w:rPr>
        <w:t>。改进措施</w:t>
      </w:r>
      <w:r>
        <w:rPr>
          <w:rFonts w:ascii="仿宋_GB2312" w:eastAsia="仿宋_GB2312" w:cs="仿宋_GB2312" w:hAnsi="仿宋"/>
        </w:rPr>
        <w:t>：</w:t>
      </w:r>
      <w:r>
        <w:rPr>
          <w:rFonts w:ascii="仿宋_GB2312" w:eastAsia="仿宋_GB2312" w:cs="仿宋_GB2312" w:hAnsi="仿宋" w:hint="eastAsia"/>
        </w:rPr>
        <w:t>根据实际需要，调整</w:t>
      </w:r>
      <w:r>
        <w:rPr>
          <w:rFonts w:ascii="仿宋_GB2312" w:eastAsia="仿宋_GB2312" w:cs="仿宋_GB2312" w:hAnsi="仿宋" w:hint="eastAsia"/>
          <w:lang w:val="en-US" w:eastAsia="zh-CN"/>
        </w:rPr>
        <w:t>202</w:t>
      </w:r>
      <w:r>
        <w:rPr>
          <w:rFonts w:ascii="仿宋_GB2312" w:eastAsia="仿宋_GB2312" w:cs="仿宋_GB2312" w:hAnsi="仿宋"/>
          <w:lang w:val="en-US" w:eastAsia="zh-CN"/>
        </w:rPr>
        <w:t>4年</w:t>
      </w:r>
      <w:r>
        <w:rPr>
          <w:rFonts w:ascii="仿宋_GB2312" w:eastAsia="仿宋_GB2312" w:cs="仿宋_GB2312" w:hAnsi="仿宋" w:hint="eastAsia"/>
        </w:rPr>
        <w:t>预算数。</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黑体" w:eastAsia="黑体" w:hAnsi="黑体"/>
        </w:rPr>
      </w:pPr>
      <w:r>
        <w:rPr>
          <w:rFonts w:ascii="黑体" w:eastAsia="黑体" w:cs="黑体" w:hAnsi="黑体" w:hint="eastAsia"/>
        </w:rPr>
        <w:t>三、本年度部门决算等财务工作开展情况</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cs="楷体_GB2312" w:hAnsi="仿宋" w:hint="eastAsia"/>
          <w:b w:val="0"/>
          <w:bCs w:val="0"/>
        </w:rPr>
      </w:pPr>
      <w:r>
        <w:rPr>
          <w:rFonts w:ascii="楷体_GB2312" w:eastAsia="楷体_GB2312" w:cs="楷体_GB2312" w:hAnsi="仿宋" w:hint="eastAsia"/>
          <w:b w:val="0"/>
          <w:bCs w:val="0"/>
        </w:rPr>
        <w:t>（一）本部门财务管理、绩效管理</w:t>
      </w:r>
      <w:bookmarkStart w:id="2" w:name="_GoBack"/>
      <w:bookmarkEnd w:id="2"/>
      <w:r>
        <w:rPr>
          <w:rFonts w:ascii="楷体_GB2312" w:eastAsia="楷体_GB2312" w:cs="楷体_GB2312" w:hAnsi="仿宋" w:hint="eastAsia"/>
          <w:b w:val="0"/>
          <w:bCs w:val="0"/>
        </w:rPr>
        <w:t>、决算组织、编报、审核情况。</w:t>
      </w:r>
    </w:p>
    <w:p>
      <w:pPr>
        <w:keepNext w:val="0"/>
        <w:keepLines w:val="0"/>
        <w:pageBreakBefore w:val="0"/>
        <w:widowControl w:val="0"/>
        <w:kinsoku/>
        <w:wordWrap/>
        <w:overflowPunct/>
        <w:topLinePunct w:val="0"/>
        <w:autoSpaceDE/>
        <w:autoSpaceDN/>
        <w:bidi w:val="0"/>
        <w:adjustRightInd/>
        <w:snapToGrid/>
        <w:spacing w:line="600" w:lineRule="exact"/>
        <w:ind w:firstLineChars="200" w:firstLine="640"/>
        <w:jc w:val="left"/>
        <w:textAlignment w:val="auto"/>
        <w:outlineLvl w:val="9"/>
        <w:rPr>
          <w:rFonts w:eastAsia="仿宋_GB2312"/>
        </w:rPr>
      </w:pPr>
      <w:r>
        <w:rPr>
          <w:rFonts w:eastAsia="仿宋_GB2312" w:cs="仿宋_GB2312" w:hint="eastAsia"/>
        </w:rPr>
        <w:t>按时按质完成。</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cs="楷体_GB2312" w:hAnsi="仿宋" w:hint="eastAsia"/>
          <w:b w:val="0"/>
          <w:bCs w:val="0"/>
        </w:rPr>
      </w:pPr>
      <w:r>
        <w:rPr>
          <w:rFonts w:ascii="楷体_GB2312" w:eastAsia="楷体_GB2312" w:cs="楷体_GB2312" w:hAnsi="仿宋" w:hint="eastAsia"/>
          <w:b w:val="0"/>
          <w:bCs w:val="0"/>
        </w:rPr>
        <w:t>（二）本部门决算及绩效信息公开工作、主管部门对所属单位按规定批复决算工作开展情况。</w:t>
      </w:r>
    </w:p>
    <w:p>
      <w:pPr>
        <w:keepNext w:val="0"/>
        <w:keepLines w:val="0"/>
        <w:pageBreakBefore w:val="0"/>
        <w:widowControl w:val="0"/>
        <w:kinsoku/>
        <w:wordWrap/>
        <w:overflowPunct/>
        <w:topLinePunct w:val="0"/>
        <w:autoSpaceDE/>
        <w:autoSpaceDN/>
        <w:bidi w:val="0"/>
        <w:adjustRightInd/>
        <w:snapToGrid/>
        <w:spacing w:line="600" w:lineRule="exact"/>
        <w:ind w:firstLineChars="200" w:firstLine="640"/>
        <w:jc w:val="left"/>
        <w:textAlignment w:val="auto"/>
        <w:outlineLvl w:val="9"/>
        <w:rPr>
          <w:rFonts w:eastAsia="仿宋_GB2312"/>
        </w:rPr>
      </w:pPr>
      <w:r>
        <w:rPr>
          <w:rFonts w:eastAsia="仿宋_GB2312" w:cs="仿宋_GB2312" w:hint="eastAsia"/>
        </w:rPr>
        <w:t>按时按质完成。</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cs="楷体_GB2312" w:hAnsi="仿宋" w:hint="eastAsia"/>
          <w:b w:val="0"/>
          <w:bCs w:val="0"/>
        </w:rPr>
      </w:pPr>
      <w:r>
        <w:rPr>
          <w:rFonts w:ascii="楷体_GB2312" w:eastAsia="楷体_GB2312" w:cs="楷体_GB2312" w:hAnsi="仿宋" w:hint="eastAsia"/>
          <w:b w:val="0"/>
          <w:bCs w:val="0"/>
        </w:rPr>
        <w:t>（三）对部门决算管理及报表设计的意见建议。</w:t>
      </w:r>
    </w:p>
    <w:p>
      <w:pPr>
        <w:keepNext w:val="0"/>
        <w:keepLines w:val="0"/>
        <w:pageBreakBefore w:val="0"/>
        <w:widowControl w:val="0"/>
        <w:kinsoku/>
        <w:wordWrap/>
        <w:overflowPunct/>
        <w:topLinePunct w:val="0"/>
        <w:autoSpaceDE/>
        <w:autoSpaceDN/>
        <w:bidi w:val="0"/>
        <w:adjustRightInd/>
        <w:snapToGrid/>
        <w:spacing w:line="600" w:lineRule="exact"/>
        <w:ind w:firstLineChars="200" w:firstLine="640"/>
        <w:jc w:val="left"/>
        <w:textAlignment w:val="auto"/>
        <w:outlineLvl w:val="9"/>
        <w:rPr>
          <w:rFonts w:eastAsia="仿宋_GB2312"/>
        </w:rPr>
      </w:pPr>
      <w:r>
        <w:rPr>
          <w:rFonts w:eastAsia="仿宋_GB2312" w:cs="仿宋_GB2312" w:hint="eastAsia"/>
        </w:rPr>
        <w:t>无。</w:t>
      </w:r>
    </w:p>
    <w:p>
      <w:pPr>
        <w:keepNext w:val="0"/>
        <w:keepLines w:val="0"/>
        <w:pageBreakBefore w:val="0"/>
        <w:widowControl w:val="0"/>
        <w:kinsoku/>
        <w:wordWrap/>
        <w:overflowPunct/>
        <w:topLinePunct w:val="0"/>
        <w:autoSpaceDE/>
        <w:autoSpaceDN/>
        <w:bidi w:val="0"/>
        <w:adjustRightInd/>
        <w:snapToGrid w:val="0"/>
        <w:spacing w:line="600" w:lineRule="exact"/>
        <w:ind w:firstLineChars="200" w:firstLine="640"/>
        <w:textAlignment w:val="auto"/>
        <w:rPr>
          <w:rFonts w:ascii="楷体_GB2312" w:eastAsia="楷体_GB2312" w:cs="楷体_GB2312" w:hAnsi="仿宋" w:hint="eastAsia"/>
          <w:b w:val="0"/>
          <w:bCs w:val="0"/>
        </w:rPr>
      </w:pPr>
      <w:r>
        <w:rPr>
          <w:rFonts w:ascii="楷体_GB2312" w:eastAsia="楷体_GB2312" w:cs="楷体_GB2312" w:hAnsi="仿宋" w:hint="eastAsia"/>
          <w:b w:val="0"/>
          <w:bCs w:val="0"/>
        </w:rPr>
        <w:t>（四）对加强部门决算数据分析利用工作的建议。</w:t>
      </w:r>
    </w:p>
    <w:p>
      <w:pPr>
        <w:keepNext w:val="0"/>
        <w:keepLines w:val="0"/>
        <w:pageBreakBefore w:val="0"/>
        <w:widowControl w:val="0"/>
        <w:kinsoku/>
        <w:wordWrap/>
        <w:overflowPunct/>
        <w:topLinePunct w:val="0"/>
        <w:autoSpaceDE/>
        <w:autoSpaceDN/>
        <w:bidi w:val="0"/>
        <w:adjustRightInd/>
        <w:snapToGrid/>
        <w:spacing w:line="600" w:lineRule="exact"/>
        <w:ind w:firstLineChars="200" w:firstLine="640"/>
        <w:jc w:val="left"/>
        <w:textAlignment w:val="auto"/>
        <w:outlineLvl w:val="9"/>
        <w:rPr>
          <w:rFonts w:eastAsia="仿宋_GB2312"/>
        </w:rPr>
      </w:pPr>
      <w:r>
        <w:rPr>
          <w:rFonts w:eastAsia="仿宋_GB2312" w:cs="仿宋_GB2312" w:hint="eastAsia"/>
        </w:rPr>
        <w:t>无。</w:t>
      </w:r>
    </w:p>
    <w:p>
      <w:pPr>
        <w:widowControl/>
        <w:spacing w:line="600" w:lineRule="exact"/>
        <w:ind w:firstLine="660"/>
        <w:jc w:val="left"/>
        <w:rPr>
          <w:rFonts w:eastAsia="仿宋_GB2312"/>
        </w:rPr>
      </w:pPr>
    </w:p>
    <w:p>
      <w:pPr>
        <w:snapToGrid w:val="0"/>
        <w:rPr>
          <w:rFonts w:ascii="??_GB2312" w:hAnsi="仿宋"/>
        </w:rPr>
      </w:pPr>
      <w:r>
        <w:rPr>
          <w:rFonts w:ascii="??_GB2312" w:hAnsi="仿宋"/>
        </w:rPr>
        <w:br w:type="page"/>
      </w:r>
      <w:r>
        <w:rPr>
          <w:rFonts w:ascii="??_GB2312" w:eastAsia="Times New Roman" w:hAnsi="仿宋"/>
        </w:rPr>
        <w:t>附：</w:t>
      </w:r>
    </w:p>
    <w:p>
      <w:pPr>
        <w:snapToGrid w:val="0"/>
        <w:ind w:firstLineChars="200" w:firstLine="640"/>
        <w:jc w:val="center"/>
        <w:rPr>
          <w:rFonts w:ascii="华文中宋" w:eastAsia="华文中宋" w:hAnsi="华文中宋"/>
        </w:rPr>
      </w:pPr>
    </w:p>
    <w:p>
      <w:pPr>
        <w:snapToGrid w:val="0"/>
        <w:ind w:firstLineChars="200" w:firstLine="640"/>
        <w:jc w:val="center"/>
        <w:rPr>
          <w:rFonts w:ascii="华文中宋" w:eastAsia="华文中宋" w:hAnsi="华文中宋"/>
        </w:rPr>
      </w:pPr>
      <w:r>
        <w:rPr>
          <w:rFonts w:ascii="华文中宋" w:eastAsia="华文中宋" w:cs="华文中宋" w:hAnsi="华文中宋" w:hint="eastAsia"/>
        </w:rPr>
        <w:t>行政事业单位财务分析指标</w:t>
      </w:r>
    </w:p>
    <w:p>
      <w:pPr>
        <w:snapToGrid w:val="0"/>
        <w:ind w:firstLineChars="200" w:firstLine="640"/>
        <w:rPr>
          <w:rFonts w:ascii="??_GB2312" w:hAnsi="仿宋"/>
        </w:rPr>
      </w:pPr>
    </w:p>
    <w:p>
      <w:pPr>
        <w:snapToGrid w:val="0"/>
        <w:ind w:firstLineChars="200" w:firstLine="640"/>
        <w:rPr>
          <w:rFonts w:ascii="黑体" w:eastAsia="黑体" w:hAnsi="黑体"/>
        </w:rPr>
      </w:pPr>
      <w:r>
        <w:rPr>
          <w:rFonts w:ascii="黑体" w:eastAsia="黑体" w:cs="黑体" w:hAnsi="黑体" w:hint="eastAsia"/>
        </w:rPr>
        <w:t>一、行政单位财务分析指标</w:t>
      </w:r>
    </w:p>
    <w:p>
      <w:pPr>
        <w:snapToGrid w:val="0"/>
        <w:ind w:firstLineChars="200" w:firstLine="640"/>
        <w:rPr>
          <w:rFonts w:ascii="??_GB2312" w:hAnsi="仿宋"/>
        </w:rPr>
      </w:pPr>
      <w:r>
        <w:rPr>
          <w:rFonts w:ascii="??_GB2312" w:eastAsia="Times New Roman" w:cs="??_GB2312" w:hAnsi="仿宋"/>
        </w:rPr>
        <w:t>1.</w:t>
      </w:r>
      <w:r>
        <w:rPr>
          <w:rFonts w:ascii="??_GB2312" w:eastAsia="Times New Roman" w:hAnsi="仿宋"/>
        </w:rPr>
        <w:t>支出增长率，衡量行政单位支出的增长水平。计算公式为：</w:t>
      </w:r>
    </w:p>
    <w:p>
      <w:pPr>
        <w:snapToGrid w:val="0"/>
        <w:ind w:firstLineChars="200" w:firstLine="640"/>
        <w:rPr>
          <w:rFonts w:ascii="??_GB2312" w:eastAsia="Times New Roman" w:cs="??_GB2312" w:hAnsi="仿宋"/>
        </w:rPr>
      </w:pPr>
      <w:r>
        <w:rPr>
          <w:rFonts w:ascii="??_GB2312" w:eastAsia="Times New Roman" w:hAnsi="仿宋"/>
        </w:rPr>
        <w:t>支出增长率＝</w:t>
      </w:r>
      <w:r>
        <w:rPr>
          <w:rFonts w:ascii="??_GB2312" w:eastAsia="Times New Roman" w:cs="??_GB2312" w:hAnsi="仿宋"/>
        </w:rPr>
        <w:t>(</w:t>
      </w:r>
      <w:r>
        <w:rPr>
          <w:rFonts w:ascii="??_GB2312" w:eastAsia="Times New Roman" w:hAnsi="仿宋"/>
        </w:rPr>
        <w:t>本期支出总额</w:t>
      </w:r>
      <w:r>
        <w:rPr>
          <w:rFonts w:ascii="??_GB2312" w:cs="宋体" w:hAnsi="仿宋" w:hint="eastAsia"/>
        </w:rPr>
        <w:t>÷</w:t>
      </w:r>
      <w:r>
        <w:rPr>
          <w:rFonts w:ascii="??_GB2312" w:eastAsia="Times New Roman" w:hAnsi="仿宋"/>
        </w:rPr>
        <w:t>上期支出总额</w:t>
      </w:r>
      <w:r>
        <w:rPr>
          <w:rFonts w:ascii="??_GB2312" w:eastAsia="Times New Roman" w:cs="??_GB2312" w:hAnsi="仿宋"/>
        </w:rPr>
        <w:t>-1)</w:t>
      </w:r>
      <w:r>
        <w:rPr>
          <w:rFonts w:ascii="??_GB2312" w:cs="宋体" w:hAnsi="仿宋" w:hint="eastAsia"/>
        </w:rPr>
        <w:t>×</w:t>
      </w:r>
      <w:r>
        <w:rPr>
          <w:rFonts w:ascii="??_GB2312" w:eastAsia="Times New Roman" w:cs="??_GB2312" w:hAnsi="仿宋"/>
        </w:rPr>
        <w:t>100%</w:t>
      </w:r>
    </w:p>
    <w:p>
      <w:pPr>
        <w:snapToGrid w:val="0"/>
        <w:ind w:firstLineChars="200" w:firstLine="640"/>
        <w:rPr>
          <w:rFonts w:ascii="??_GB2312" w:hAnsi="仿宋"/>
        </w:rPr>
      </w:pPr>
      <w:r>
        <w:rPr>
          <w:rFonts w:ascii="??_GB2312" w:eastAsia="Times New Roman" w:cs="??_GB2312" w:hAnsi="仿宋"/>
        </w:rPr>
        <w:t>2.</w:t>
      </w:r>
      <w:r>
        <w:rPr>
          <w:rFonts w:ascii="??_GB2312" w:eastAsia="Times New Roman" w:hAnsi="仿宋"/>
        </w:rPr>
        <w:t>当年预算支出完成率，衡量行政单位当年支出总预算及分项预算完成的程度。计算公式为：</w:t>
      </w:r>
    </w:p>
    <w:p>
      <w:pPr>
        <w:snapToGrid w:val="0"/>
        <w:ind w:firstLineChars="200" w:firstLine="640"/>
        <w:rPr>
          <w:rFonts w:ascii="??_GB2312" w:eastAsia="Times New Roman" w:cs="??_GB2312" w:hAnsi="仿宋"/>
        </w:rPr>
      </w:pPr>
      <w:r>
        <w:rPr>
          <w:rFonts w:ascii="??_GB2312" w:eastAsia="Times New Roman" w:hAnsi="仿宋"/>
        </w:rPr>
        <w:t>当年预算支出完成率＝年终执行数</w:t>
      </w:r>
      <w:r>
        <w:rPr>
          <w:rFonts w:ascii="??_GB2312" w:cs="宋体" w:hAnsi="仿宋" w:hint="eastAsia"/>
        </w:rPr>
        <w:t>÷</w:t>
      </w:r>
      <w:r>
        <w:rPr>
          <w:rFonts w:ascii="??_GB2312" w:eastAsia="Times New Roman" w:hAnsi="仿宋"/>
        </w:rPr>
        <w:t>调整预算数</w:t>
      </w:r>
      <w:r>
        <w:rPr>
          <w:rFonts w:ascii="??_GB2312" w:cs="宋体" w:hAnsi="仿宋" w:hint="eastAsia"/>
        </w:rPr>
        <w:t>×</w:t>
      </w:r>
      <w:r>
        <w:rPr>
          <w:rFonts w:ascii="??_GB2312" w:eastAsia="Times New Roman" w:cs="??_GB2312" w:hAnsi="仿宋"/>
        </w:rPr>
        <w:t>100%</w:t>
      </w:r>
    </w:p>
    <w:p>
      <w:pPr>
        <w:snapToGrid w:val="0"/>
        <w:ind w:firstLineChars="200" w:firstLine="640"/>
        <w:rPr>
          <w:rFonts w:ascii="??_GB2312" w:hAnsi="仿宋"/>
        </w:rPr>
      </w:pPr>
      <w:r>
        <w:rPr>
          <w:rFonts w:ascii="??_GB2312" w:eastAsia="Times New Roman" w:hAnsi="仿宋"/>
        </w:rPr>
        <w:t>年终执行数不含上年结转和结余支出数。</w:t>
      </w:r>
    </w:p>
    <w:p>
      <w:pPr>
        <w:snapToGrid w:val="0"/>
        <w:ind w:firstLineChars="200" w:firstLine="640"/>
        <w:rPr>
          <w:rFonts w:ascii="??_GB2312" w:hAnsi="仿宋"/>
        </w:rPr>
      </w:pPr>
      <w:r>
        <w:rPr>
          <w:rFonts w:ascii="??_GB2312" w:eastAsia="Times New Roman" w:cs="??_GB2312" w:hAnsi="仿宋"/>
        </w:rPr>
        <w:t>3.</w:t>
      </w:r>
      <w:r>
        <w:rPr>
          <w:rFonts w:ascii="??_GB2312" w:eastAsia="Times New Roman" w:hAnsi="仿宋"/>
        </w:rPr>
        <w:t>人均开支，衡量行政单位人均年消耗经费水平。计算公式为：</w:t>
      </w:r>
    </w:p>
    <w:p>
      <w:pPr>
        <w:snapToGrid w:val="0"/>
        <w:ind w:firstLineChars="200" w:firstLine="640"/>
        <w:rPr>
          <w:rFonts w:ascii="??_GB2312" w:eastAsia="Times New Roman" w:cs="??_GB2312" w:hAnsi="仿宋"/>
        </w:rPr>
      </w:pPr>
      <w:r>
        <w:rPr>
          <w:rFonts w:ascii="??_GB2312" w:eastAsia="Times New Roman" w:hAnsi="仿宋"/>
        </w:rPr>
        <w:t>人均开支＝本期支出数</w:t>
      </w:r>
      <w:r>
        <w:rPr>
          <w:rFonts w:ascii="??_GB2312" w:cs="宋体" w:hAnsi="仿宋" w:hint="eastAsia"/>
        </w:rPr>
        <w:t>÷</w:t>
      </w:r>
      <w:r>
        <w:rPr>
          <w:rFonts w:ascii="??_GB2312" w:eastAsia="Times New Roman" w:hAnsi="仿宋"/>
        </w:rPr>
        <w:t>本期平均在职人员数</w:t>
      </w:r>
      <w:r>
        <w:rPr>
          <w:rFonts w:ascii="??_GB2312" w:cs="宋体" w:hAnsi="仿宋" w:hint="eastAsia"/>
        </w:rPr>
        <w:t>×</w:t>
      </w:r>
      <w:r>
        <w:rPr>
          <w:rFonts w:ascii="??_GB2312" w:eastAsia="Times New Roman" w:cs="??_GB2312" w:hAnsi="仿宋"/>
        </w:rPr>
        <w:t>100%</w:t>
      </w:r>
    </w:p>
    <w:p>
      <w:pPr>
        <w:snapToGrid w:val="0"/>
        <w:ind w:firstLineChars="200" w:firstLine="640"/>
        <w:rPr>
          <w:rFonts w:ascii="??_GB2312" w:hAnsi="仿宋"/>
        </w:rPr>
      </w:pPr>
      <w:r>
        <w:rPr>
          <w:rFonts w:ascii="??_GB2312" w:eastAsia="Times New Roman" w:cs="??_GB2312" w:hAnsi="仿宋"/>
        </w:rPr>
        <w:t>4.</w:t>
      </w:r>
      <w:r>
        <w:rPr>
          <w:rFonts w:ascii="??_GB2312" w:eastAsia="Times New Roman" w:hAnsi="仿宋"/>
        </w:rPr>
        <w:t>项目支出占总支出的比率，衡量行政单位的支出结构。计算公式为：</w:t>
      </w:r>
    </w:p>
    <w:p>
      <w:pPr>
        <w:snapToGrid w:val="0"/>
        <w:ind w:firstLineChars="200" w:firstLine="640"/>
        <w:rPr>
          <w:rFonts w:ascii="??_GB2312" w:eastAsia="Times New Roman" w:cs="??_GB2312" w:hAnsi="仿宋"/>
        </w:rPr>
      </w:pPr>
      <w:r>
        <w:rPr>
          <w:rFonts w:ascii="??_GB2312" w:eastAsia="Times New Roman" w:hAnsi="仿宋"/>
        </w:rPr>
        <w:t>项目支出比率</w:t>
      </w:r>
      <w:r>
        <w:rPr>
          <w:rFonts w:ascii="??_GB2312" w:eastAsia="Times New Roman" w:cs="??_GB2312" w:hAnsi="仿宋"/>
        </w:rPr>
        <w:t>=</w:t>
      </w:r>
      <w:r>
        <w:rPr>
          <w:rFonts w:ascii="??_GB2312" w:eastAsia="Times New Roman" w:hAnsi="仿宋"/>
        </w:rPr>
        <w:t>本期项目支出数</w:t>
      </w:r>
      <w:r>
        <w:rPr>
          <w:rFonts w:ascii="??_GB2312" w:cs="宋体" w:hAnsi="仿宋" w:hint="eastAsia"/>
        </w:rPr>
        <w:t>÷</w:t>
      </w:r>
      <w:r>
        <w:rPr>
          <w:rFonts w:ascii="??_GB2312" w:eastAsia="Times New Roman" w:hAnsi="仿宋"/>
        </w:rPr>
        <w:t>本期支出总数</w:t>
      </w:r>
      <w:r>
        <w:rPr>
          <w:rFonts w:ascii="??_GB2312" w:cs="宋体" w:hAnsi="仿宋" w:hint="eastAsia"/>
        </w:rPr>
        <w:t>×</w:t>
      </w:r>
      <w:r>
        <w:rPr>
          <w:rFonts w:ascii="??_GB2312" w:eastAsia="Times New Roman" w:cs="??_GB2312" w:hAnsi="仿宋"/>
        </w:rPr>
        <w:t>100%</w:t>
      </w:r>
    </w:p>
    <w:p>
      <w:pPr>
        <w:snapToGrid w:val="0"/>
        <w:ind w:firstLineChars="200" w:firstLine="640"/>
        <w:rPr>
          <w:rFonts w:ascii="??_GB2312" w:hAnsi="仿宋"/>
        </w:rPr>
      </w:pPr>
      <w:r>
        <w:rPr>
          <w:rFonts w:ascii="??_GB2312" w:eastAsia="Times New Roman" w:cs="??_GB2312" w:hAnsi="仿宋"/>
        </w:rPr>
        <w:t>5.</w:t>
      </w:r>
      <w:r>
        <w:rPr>
          <w:rFonts w:ascii="??_GB2312" w:eastAsia="Times New Roman" w:hAnsi="仿宋"/>
        </w:rPr>
        <w:t>人员支出、公用支出占总支出的比率，衡量行政单位的支出结构。计算公式为：</w:t>
      </w:r>
    </w:p>
    <w:p>
      <w:pPr>
        <w:snapToGrid w:val="0"/>
        <w:ind w:firstLineChars="200" w:firstLine="640"/>
        <w:rPr>
          <w:rFonts w:ascii="??_GB2312" w:eastAsia="Times New Roman" w:cs="??_GB2312" w:hAnsi="仿宋"/>
        </w:rPr>
      </w:pPr>
      <w:r>
        <w:rPr>
          <w:rFonts w:ascii="??_GB2312" w:eastAsia="Times New Roman" w:hAnsi="仿宋"/>
        </w:rPr>
        <w:t>人员支出比率</w:t>
      </w:r>
      <w:r>
        <w:rPr>
          <w:rFonts w:ascii="??_GB2312" w:eastAsia="Times New Roman" w:cs="??_GB2312" w:hAnsi="仿宋"/>
        </w:rPr>
        <w:t>=</w:t>
      </w:r>
      <w:r>
        <w:rPr>
          <w:rFonts w:ascii="??_GB2312" w:eastAsia="Times New Roman" w:hAnsi="仿宋"/>
        </w:rPr>
        <w:t>本期人员支出数</w:t>
      </w:r>
      <w:r>
        <w:rPr>
          <w:rFonts w:ascii="??_GB2312" w:cs="宋体" w:hAnsi="仿宋" w:hint="eastAsia"/>
        </w:rPr>
        <w:t>÷</w:t>
      </w:r>
      <w:r>
        <w:rPr>
          <w:rFonts w:ascii="??_GB2312" w:eastAsia="Times New Roman" w:hAnsi="仿宋"/>
        </w:rPr>
        <w:t>本期支出总数</w:t>
      </w:r>
      <w:r>
        <w:rPr>
          <w:rFonts w:ascii="??_GB2312" w:cs="宋体" w:hAnsi="仿宋" w:hint="eastAsia"/>
        </w:rPr>
        <w:t>×</w:t>
      </w:r>
      <w:r>
        <w:rPr>
          <w:rFonts w:ascii="??_GB2312" w:eastAsia="Times New Roman" w:cs="??_GB2312" w:hAnsi="仿宋"/>
        </w:rPr>
        <w:t>100%</w:t>
      </w:r>
    </w:p>
    <w:p>
      <w:pPr>
        <w:snapToGrid w:val="0"/>
        <w:ind w:firstLineChars="200" w:firstLine="640"/>
        <w:rPr>
          <w:rFonts w:ascii="??_GB2312" w:eastAsia="Times New Roman" w:cs="??_GB2312" w:hAnsi="仿宋"/>
        </w:rPr>
      </w:pPr>
      <w:r>
        <w:rPr>
          <w:rFonts w:ascii="??_GB2312" w:eastAsia="Times New Roman" w:hAnsi="仿宋"/>
        </w:rPr>
        <w:t>公用支出比率</w:t>
      </w:r>
      <w:r>
        <w:rPr>
          <w:rFonts w:ascii="??_GB2312" w:eastAsia="Times New Roman" w:cs="??_GB2312" w:hAnsi="仿宋"/>
        </w:rPr>
        <w:t>=</w:t>
      </w:r>
      <w:r>
        <w:rPr>
          <w:rFonts w:ascii="??_GB2312" w:eastAsia="Times New Roman" w:hAnsi="仿宋"/>
        </w:rPr>
        <w:t>本期公用支出数</w:t>
      </w:r>
      <w:r>
        <w:rPr>
          <w:rFonts w:ascii="??_GB2312" w:cs="宋体" w:hAnsi="仿宋" w:hint="eastAsia"/>
        </w:rPr>
        <w:t>÷</w:t>
      </w:r>
      <w:r>
        <w:rPr>
          <w:rFonts w:ascii="??_GB2312" w:eastAsia="Times New Roman" w:hAnsi="仿宋"/>
        </w:rPr>
        <w:t>本期支出总数</w:t>
      </w:r>
      <w:r>
        <w:rPr>
          <w:rFonts w:ascii="??_GB2312" w:cs="宋体" w:hAnsi="仿宋" w:hint="eastAsia"/>
        </w:rPr>
        <w:t>×</w:t>
      </w:r>
      <w:r>
        <w:rPr>
          <w:rFonts w:ascii="??_GB2312" w:eastAsia="Times New Roman" w:cs="??_GB2312" w:hAnsi="仿宋"/>
        </w:rPr>
        <w:t>100%</w:t>
      </w:r>
    </w:p>
    <w:p>
      <w:pPr>
        <w:snapToGrid w:val="0"/>
        <w:ind w:firstLineChars="200" w:firstLine="640"/>
        <w:rPr>
          <w:rFonts w:ascii="??_GB2312" w:hAnsi="仿宋"/>
        </w:rPr>
      </w:pPr>
      <w:r>
        <w:rPr>
          <w:rFonts w:ascii="??_GB2312" w:eastAsia="Times New Roman" w:cs="??_GB2312" w:hAnsi="仿宋"/>
        </w:rPr>
        <w:t>6.</w:t>
      </w:r>
      <w:r>
        <w:rPr>
          <w:rFonts w:ascii="??_GB2312" w:eastAsia="Times New Roman" w:hAnsi="仿宋"/>
        </w:rPr>
        <w:t>人均办公使用面积，衡量行政单位办公用房配备情况。计算公式为：</w:t>
      </w:r>
    </w:p>
    <w:p>
      <w:pPr>
        <w:snapToGrid w:val="0"/>
        <w:ind w:firstLineChars="200" w:firstLine="640"/>
        <w:rPr>
          <w:rFonts w:ascii="??_GB2312" w:hAnsi="仿宋"/>
        </w:rPr>
      </w:pPr>
      <w:r>
        <w:rPr>
          <w:rFonts w:ascii="??_GB2312" w:eastAsia="Times New Roman" w:hAnsi="仿宋"/>
        </w:rPr>
        <w:t>人均办公使用面积</w:t>
      </w:r>
      <w:r>
        <w:rPr>
          <w:rFonts w:ascii="??_GB2312" w:eastAsia="Times New Roman" w:cs="??_GB2312" w:hAnsi="仿宋"/>
        </w:rPr>
        <w:t>=</w:t>
      </w:r>
      <w:r>
        <w:rPr>
          <w:rFonts w:ascii="??_GB2312" w:eastAsia="Times New Roman" w:hAnsi="仿宋"/>
        </w:rPr>
        <w:t>本期末单位办公用房使用面积</w:t>
      </w:r>
      <w:r>
        <w:rPr>
          <w:rFonts w:ascii="??_GB2312" w:cs="宋体" w:hAnsi="仿宋" w:hint="eastAsia"/>
        </w:rPr>
        <w:t>÷</w:t>
      </w:r>
      <w:r>
        <w:rPr>
          <w:rFonts w:ascii="??_GB2312" w:eastAsia="Times New Roman" w:hAnsi="仿宋"/>
        </w:rPr>
        <w:t>本期末在职人员数</w:t>
      </w:r>
    </w:p>
    <w:p>
      <w:pPr>
        <w:snapToGrid w:val="0"/>
        <w:ind w:firstLineChars="200" w:firstLine="640"/>
        <w:rPr>
          <w:rFonts w:ascii="??_GB2312" w:hAnsi="仿宋"/>
        </w:rPr>
      </w:pPr>
      <w:r>
        <w:rPr>
          <w:rFonts w:ascii="??_GB2312" w:eastAsia="Times New Roman" w:cs="??_GB2312" w:hAnsi="仿宋"/>
        </w:rPr>
        <w:t>7.</w:t>
      </w:r>
      <w:r>
        <w:rPr>
          <w:rFonts w:ascii="??_GB2312" w:eastAsia="Times New Roman" w:hAnsi="仿宋"/>
        </w:rPr>
        <w:t>人车比例，衡量行政单位公务用车配备情况。计算公式为：</w:t>
      </w:r>
    </w:p>
    <w:p>
      <w:pPr>
        <w:snapToGrid w:val="0"/>
        <w:ind w:firstLineChars="200" w:firstLine="640"/>
        <w:rPr>
          <w:rFonts w:ascii="??_GB2312" w:eastAsia="Times New Roman" w:cs="??_GB2312" w:hAnsi="仿宋"/>
        </w:rPr>
      </w:pPr>
      <w:r>
        <w:rPr>
          <w:rFonts w:ascii="??_GB2312" w:eastAsia="Times New Roman" w:hAnsi="仿宋"/>
        </w:rPr>
        <w:t>人车比例</w:t>
      </w:r>
      <w:r>
        <w:rPr>
          <w:rFonts w:ascii="??_GB2312" w:eastAsia="Times New Roman" w:cs="??_GB2312" w:hAnsi="仿宋"/>
        </w:rPr>
        <w:t>=</w:t>
      </w:r>
      <w:r>
        <w:rPr>
          <w:rFonts w:ascii="??_GB2312" w:eastAsia="Times New Roman" w:hAnsi="仿宋"/>
        </w:rPr>
        <w:t>本期末在职人员数</w:t>
      </w:r>
      <w:r>
        <w:rPr>
          <w:rFonts w:ascii="??_GB2312" w:cs="宋体" w:hAnsi="仿宋" w:hint="eastAsia"/>
        </w:rPr>
        <w:t>÷</w:t>
      </w:r>
      <w:r>
        <w:rPr>
          <w:rFonts w:ascii="??_GB2312" w:eastAsia="Times New Roman" w:hAnsi="仿宋"/>
        </w:rPr>
        <w:t>本期末公务用车实有数</w:t>
      </w:r>
      <w:r>
        <w:rPr>
          <w:rFonts w:ascii="??_GB2312" w:eastAsia="Times New Roman" w:cs="??_GB2312" w:hAnsi="仿宋"/>
        </w:rPr>
        <w:t>:1</w:t>
      </w:r>
    </w:p>
    <w:p>
      <w:pPr>
        <w:snapToGrid w:val="0"/>
        <w:ind w:firstLineChars="200" w:firstLine="640"/>
        <w:rPr>
          <w:rFonts w:ascii="??_GB2312" w:eastAsia="Times New Roman" w:cs="??_GB2312" w:hAnsi="仿宋"/>
        </w:rPr>
      </w:pPr>
    </w:p>
    <w:p>
      <w:pPr>
        <w:snapToGrid w:val="0"/>
        <w:ind w:firstLineChars="200" w:firstLine="640"/>
        <w:rPr>
          <w:rFonts w:ascii="黑体" w:eastAsia="黑体" w:hAnsi="黑体"/>
        </w:rPr>
      </w:pPr>
      <w:r>
        <w:rPr>
          <w:rFonts w:ascii="黑体" w:eastAsia="黑体" w:cs="黑体" w:hAnsi="黑体" w:hint="eastAsia"/>
        </w:rPr>
        <w:t>二、事业单位财务分析指标</w:t>
      </w:r>
    </w:p>
    <w:p>
      <w:pPr>
        <w:snapToGrid w:val="0"/>
        <w:ind w:firstLineChars="200" w:firstLine="640"/>
        <w:rPr>
          <w:rFonts w:ascii="??_GB2312" w:hAnsi="仿宋"/>
        </w:rPr>
      </w:pPr>
      <w:r>
        <w:rPr>
          <w:rFonts w:ascii="??_GB2312" w:eastAsia="Times New Roman" w:cs="??_GB2312" w:hAnsi="仿宋"/>
        </w:rPr>
        <w:t>1.</w:t>
      </w:r>
      <w:r>
        <w:rPr>
          <w:rFonts w:ascii="??_GB2312" w:eastAsia="Times New Roman" w:hAnsi="仿宋"/>
        </w:rPr>
        <w:t>预算收入和支出完成率，衡量事业单位收入和支出总预算及分项预算完成的程度。计算公式为：</w:t>
      </w:r>
    </w:p>
    <w:p>
      <w:pPr>
        <w:snapToGrid w:val="0"/>
        <w:ind w:firstLineChars="200" w:firstLine="640"/>
        <w:rPr>
          <w:rFonts w:ascii="??_GB2312" w:eastAsia="Times New Roman" w:cs="??_GB2312" w:hAnsi="仿宋"/>
        </w:rPr>
      </w:pPr>
      <w:r>
        <w:rPr>
          <w:rFonts w:ascii="??_GB2312" w:eastAsia="Times New Roman" w:hAnsi="仿宋"/>
        </w:rPr>
        <w:t>预算收入完成率＝年终执行数</w:t>
      </w:r>
      <w:r>
        <w:rPr>
          <w:rFonts w:ascii="??_GB2312" w:cs="宋体" w:hAnsi="仿宋" w:hint="eastAsia"/>
        </w:rPr>
        <w:t>÷</w:t>
      </w:r>
      <w:r>
        <w:rPr>
          <w:rFonts w:ascii="??_GB2312" w:eastAsia="Times New Roman" w:hAnsi="仿宋"/>
        </w:rPr>
        <w:t>调整预算数</w:t>
      </w:r>
      <w:r>
        <w:rPr>
          <w:rFonts w:ascii="??_GB2312" w:cs="宋体" w:hAnsi="仿宋" w:hint="eastAsia"/>
        </w:rPr>
        <w:t>×</w:t>
      </w:r>
      <w:r>
        <w:rPr>
          <w:rFonts w:ascii="??_GB2312" w:eastAsia="Times New Roman" w:cs="??_GB2312" w:hAnsi="仿宋"/>
        </w:rPr>
        <w:t>100%</w:t>
      </w:r>
    </w:p>
    <w:p>
      <w:pPr>
        <w:snapToGrid w:val="0"/>
        <w:ind w:firstLineChars="200" w:firstLine="640"/>
        <w:rPr>
          <w:rFonts w:ascii="??_GB2312" w:hAnsi="仿宋"/>
        </w:rPr>
      </w:pPr>
      <w:r>
        <w:rPr>
          <w:rFonts w:ascii="??_GB2312" w:eastAsia="Times New Roman" w:hAnsi="仿宋"/>
        </w:rPr>
        <w:t>年终执行数不含上年结转和结余收入数</w:t>
      </w:r>
    </w:p>
    <w:p>
      <w:pPr>
        <w:snapToGrid w:val="0"/>
        <w:ind w:firstLineChars="200" w:firstLine="640"/>
        <w:rPr>
          <w:rFonts w:ascii="??_GB2312" w:eastAsia="Times New Roman" w:cs="??_GB2312" w:hAnsi="仿宋"/>
        </w:rPr>
      </w:pPr>
      <w:r>
        <w:rPr>
          <w:rFonts w:ascii="??_GB2312" w:eastAsia="Times New Roman" w:hAnsi="仿宋"/>
        </w:rPr>
        <w:t>预算支出完成率＝年终执行数</w:t>
      </w:r>
      <w:r>
        <w:rPr>
          <w:rFonts w:ascii="??_GB2312" w:cs="宋体" w:hAnsi="仿宋" w:hint="eastAsia"/>
        </w:rPr>
        <w:t>÷</w:t>
      </w:r>
      <w:r>
        <w:rPr>
          <w:rFonts w:ascii="??_GB2312" w:eastAsia="Times New Roman" w:hAnsi="仿宋"/>
        </w:rPr>
        <w:t>调整预算数</w:t>
      </w:r>
      <w:r>
        <w:rPr>
          <w:rFonts w:ascii="??_GB2312" w:cs="宋体" w:hAnsi="仿宋" w:hint="eastAsia"/>
        </w:rPr>
        <w:t>×</w:t>
      </w:r>
      <w:r>
        <w:rPr>
          <w:rFonts w:ascii="??_GB2312" w:eastAsia="Times New Roman" w:cs="??_GB2312" w:hAnsi="仿宋"/>
        </w:rPr>
        <w:t>100%</w:t>
      </w:r>
    </w:p>
    <w:p>
      <w:pPr>
        <w:snapToGrid w:val="0"/>
        <w:ind w:firstLineChars="200" w:firstLine="640"/>
        <w:rPr>
          <w:rFonts w:ascii="??_GB2312" w:hAnsi="仿宋"/>
        </w:rPr>
      </w:pPr>
      <w:r>
        <w:rPr>
          <w:rFonts w:ascii="??_GB2312" w:eastAsia="Times New Roman" w:hAnsi="仿宋"/>
        </w:rPr>
        <w:t>年终执行数不含上年结转和结余支出数</w:t>
      </w:r>
    </w:p>
    <w:p>
      <w:pPr>
        <w:snapToGrid w:val="0"/>
        <w:ind w:firstLineChars="200" w:firstLine="640"/>
        <w:rPr>
          <w:rFonts w:ascii="??_GB2312" w:hAnsi="仿宋"/>
        </w:rPr>
      </w:pPr>
      <w:r>
        <w:rPr>
          <w:rFonts w:ascii="??_GB2312" w:eastAsia="Times New Roman" w:cs="??_GB2312" w:hAnsi="仿宋"/>
        </w:rPr>
        <w:t>2.</w:t>
      </w:r>
      <w:r>
        <w:rPr>
          <w:rFonts w:ascii="??_GB2312" w:eastAsia="Times New Roman" w:hAnsi="仿宋"/>
        </w:rPr>
        <w:t>人员支出、公用支出占事业支出的比率，衡量事业单位事业支出结构。计算公式为：</w:t>
      </w:r>
    </w:p>
    <w:p>
      <w:pPr>
        <w:snapToGrid w:val="0"/>
        <w:ind w:firstLineChars="200" w:firstLine="640"/>
        <w:rPr>
          <w:rFonts w:ascii="??_GB2312" w:eastAsia="Times New Roman" w:cs="??_GB2312" w:hAnsi="仿宋"/>
        </w:rPr>
      </w:pPr>
      <w:r>
        <w:rPr>
          <w:rFonts w:ascii="??_GB2312" w:eastAsia="Times New Roman" w:hAnsi="仿宋"/>
        </w:rPr>
        <w:t>人员支出比率＝人员支出</w:t>
      </w:r>
      <w:r>
        <w:rPr>
          <w:rFonts w:ascii="??_GB2312" w:cs="宋体" w:hAnsi="仿宋" w:hint="eastAsia"/>
        </w:rPr>
        <w:t>÷</w:t>
      </w:r>
      <w:r>
        <w:rPr>
          <w:rFonts w:ascii="??_GB2312" w:eastAsia="Times New Roman" w:hAnsi="仿宋"/>
        </w:rPr>
        <w:t>事业支出</w:t>
      </w:r>
      <w:r>
        <w:rPr>
          <w:rFonts w:ascii="??_GB2312" w:cs="宋体" w:hAnsi="仿宋" w:hint="eastAsia"/>
        </w:rPr>
        <w:t>×</w:t>
      </w:r>
      <w:r>
        <w:rPr>
          <w:rFonts w:ascii="??_GB2312" w:eastAsia="Times New Roman" w:cs="??_GB2312" w:hAnsi="仿宋"/>
        </w:rPr>
        <w:t>100%</w:t>
      </w:r>
    </w:p>
    <w:p>
      <w:pPr>
        <w:snapToGrid w:val="0"/>
        <w:ind w:firstLineChars="200" w:firstLine="640"/>
        <w:rPr>
          <w:rFonts w:ascii="??_GB2312" w:eastAsia="Times New Roman" w:cs="??_GB2312" w:hAnsi="仿宋"/>
        </w:rPr>
      </w:pPr>
      <w:r>
        <w:rPr>
          <w:rFonts w:ascii="??_GB2312" w:eastAsia="Times New Roman" w:hAnsi="仿宋"/>
        </w:rPr>
        <w:t>公用支出比率＝公用支出</w:t>
      </w:r>
      <w:r>
        <w:rPr>
          <w:rFonts w:ascii="??_GB2312" w:cs="宋体" w:hAnsi="仿宋" w:hint="eastAsia"/>
        </w:rPr>
        <w:t>÷</w:t>
      </w:r>
      <w:r>
        <w:rPr>
          <w:rFonts w:ascii="??_GB2312" w:eastAsia="Times New Roman" w:hAnsi="仿宋"/>
        </w:rPr>
        <w:t>事业支出</w:t>
      </w:r>
      <w:r>
        <w:rPr>
          <w:rFonts w:ascii="??_GB2312" w:cs="宋体" w:hAnsi="仿宋" w:hint="eastAsia"/>
        </w:rPr>
        <w:t>×</w:t>
      </w:r>
      <w:r>
        <w:rPr>
          <w:rFonts w:ascii="??_GB2312" w:eastAsia="Times New Roman" w:cs="??_GB2312" w:hAnsi="仿宋"/>
        </w:rPr>
        <w:t>100%</w:t>
      </w:r>
    </w:p>
    <w:p>
      <w:pPr>
        <w:snapToGrid w:val="0"/>
        <w:ind w:firstLineChars="200" w:firstLine="640"/>
        <w:rPr>
          <w:rFonts w:ascii="??_GB2312" w:hAnsi="仿宋"/>
        </w:rPr>
      </w:pPr>
      <w:r>
        <w:rPr>
          <w:rFonts w:ascii="??_GB2312" w:eastAsia="Times New Roman" w:cs="??_GB2312" w:hAnsi="仿宋"/>
        </w:rPr>
        <w:t>3.</w:t>
      </w:r>
      <w:r>
        <w:rPr>
          <w:rFonts w:ascii="??_GB2312" w:eastAsia="Times New Roman" w:hAnsi="仿宋"/>
        </w:rPr>
        <w:t>人均基本支出，衡量事业单位按照实际在编人数平均的基本支出水平。计算公式为：</w:t>
      </w:r>
    </w:p>
    <w:p>
      <w:pPr>
        <w:snapToGrid w:val="0"/>
        <w:ind w:firstLineChars="200" w:firstLine="640"/>
        <w:rPr>
          <w:rFonts w:ascii="??_GB2312" w:hAnsi="仿宋"/>
          <w:b/>
          <w:bCs/>
        </w:rPr>
      </w:pPr>
      <w:r>
        <w:rPr>
          <w:rFonts w:ascii="??_GB2312" w:eastAsia="Times New Roman" w:hAnsi="仿宋"/>
        </w:rPr>
        <w:t>人均基本支出＝（基本支出</w:t>
      </w:r>
      <w:r>
        <w:rPr>
          <w:rFonts w:ascii="??_GB2312" w:eastAsia="Times New Roman" w:cs="??_GB2312" w:hAnsi="仿宋"/>
        </w:rPr>
        <w:t>-</w:t>
      </w:r>
      <w:r>
        <w:rPr>
          <w:rFonts w:ascii="??_GB2312" w:eastAsia="Times New Roman" w:hAnsi="仿宋"/>
        </w:rPr>
        <w:t>离退休人员支出）</w:t>
      </w:r>
      <w:r>
        <w:rPr>
          <w:rFonts w:ascii="??_GB2312" w:cs="宋体" w:hAnsi="仿宋" w:hint="eastAsia"/>
        </w:rPr>
        <w:t>÷</w:t>
      </w:r>
      <w:r>
        <w:rPr>
          <w:rFonts w:ascii="??_GB2312" w:eastAsia="Times New Roman" w:hAnsi="仿宋"/>
        </w:rPr>
        <w:t>实际在编人数</w:t>
      </w:r>
    </w:p>
    <w:p>
      <w:pPr>
        <w:snapToGrid w:val="0"/>
        <w:ind w:firstLineChars="200" w:firstLine="640"/>
        <w:rPr>
          <w:rFonts w:ascii="??_GB2312" w:hAnsi="仿宋"/>
        </w:rPr>
      </w:pPr>
    </w:p>
    <w:p>
      <w:pPr>
        <w:snapToGrid w:val="0"/>
        <w:ind w:firstLineChars="200" w:firstLine="640"/>
        <w:rPr>
          <w:rFonts w:ascii="??_GB2312" w:hAnsi="仿宋"/>
        </w:rPr>
      </w:pPr>
      <w:r>
        <w:rPr>
          <w:rFonts w:ascii="??_GB2312" w:eastAsia="Times New Roman" w:hAnsi="仿宋"/>
        </w:rPr>
        <w:t>此外，行业事业单位还可根据相关财务制度规定和分析需要增加相关分析指标，如：</w:t>
      </w:r>
    </w:p>
    <w:p>
      <w:pPr>
        <w:ind w:firstLineChars="221" w:firstLine="707"/>
        <w:rPr>
          <w:rFonts w:ascii="??_GB2312" w:hAnsi="仿宋"/>
        </w:rPr>
      </w:pPr>
      <w:r>
        <w:rPr>
          <w:rFonts w:ascii="??_GB2312" w:eastAsia="Times New Roman" w:cs="??_GB2312" w:hAnsi="仿宋"/>
        </w:rPr>
        <w:t>1.</w:t>
      </w:r>
      <w:r>
        <w:rPr>
          <w:rFonts w:ascii="??_GB2312" w:eastAsia="Times New Roman" w:hAnsi="仿宋"/>
        </w:rPr>
        <w:t>财政拨款依存度</w:t>
      </w:r>
      <w:r>
        <w:rPr>
          <w:rFonts w:ascii="??_GB2312" w:eastAsia="Times New Roman" w:cs="??_GB2312" w:hAnsi="仿宋"/>
        </w:rPr>
        <w:t xml:space="preserve">, </w:t>
      </w:r>
      <w:r>
        <w:rPr>
          <w:rFonts w:ascii="??_GB2312" w:eastAsia="Times New Roman" w:hAnsi="仿宋"/>
        </w:rPr>
        <w:t>衡量部门（单位）对财政拨款的依赖程度。</w:t>
      </w:r>
    </w:p>
    <w:p>
      <w:pPr>
        <w:widowControl/>
        <w:ind w:firstLineChars="200" w:firstLine="640"/>
        <w:textAlignment w:val="center"/>
        <w:rPr>
          <w:color w:val="0000FF"/>
        </w:rPr>
      </w:pPr>
      <w:r>
        <w:rPr>
          <w:rFonts w:ascii="??_GB2312" w:eastAsia="Times New Roman" w:hAnsi="仿宋"/>
        </w:rPr>
        <w:t>财政拨款依存度＝财政拨款收入</w:t>
      </w:r>
      <w:r>
        <w:rPr>
          <w:rFonts w:ascii="??_GB2312" w:cs="宋体" w:hAnsi="仿宋" w:hint="eastAsia"/>
        </w:rPr>
        <w:t>÷</w:t>
      </w:r>
      <w:r>
        <w:rPr>
          <w:rFonts w:ascii="??_GB2312" w:eastAsia="Times New Roman" w:hAnsi="仿宋"/>
        </w:rPr>
        <w:t>收入总额</w:t>
      </w:r>
      <w:r>
        <w:rPr>
          <w:rFonts w:ascii="??_GB2312" w:cs="宋体" w:hAnsi="仿宋" w:hint="eastAsia"/>
        </w:rPr>
        <w:t>×</w:t>
      </w:r>
      <w:r>
        <w:rPr>
          <w:rFonts w:ascii="??_GB2312" w:eastAsia="Times New Roman" w:cs="??_GB2312" w:hAnsi="仿宋"/>
        </w:rPr>
        <w:t>100%</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panose1 w:val="02000000000000000000"/>
    <w:charset w:val="86"/>
    <w:family w:val="auto"/>
    <w:pitch w:val="variable"/>
    <w:sig w:usb0="A00002BF" w:usb1="184F6CFA" w:usb2="00000012" w:usb3="00000000" w:csb0="00040001" w:csb1="00000000"/>
  </w:font>
  <w:font w:name="黑体">
    <w:panose1 w:val="02010609060101010101"/>
    <w:charset w:val="86"/>
    <w:family w:val="auto"/>
    <w:pitch w:val="variable"/>
    <w:sig w:usb0="800002BF" w:usb1="38CF7CFA" w:usb2="00000016" w:usb3="00000000" w:csb0="00040001" w:csb1="00000000"/>
  </w:font>
  <w:font w:name="楷体_GB2312">
    <w:altName w:val="楷体"/>
    <w:panose1 w:val="02010609030101010101"/>
    <w:charset w:val="86"/>
    <w:family w:val="modern"/>
    <w:pitch w:val="variable"/>
    <w:sig w:usb0="00000000" w:usb1="00000000" w:usb2="00000000" w:usb3="00000000" w:csb0="00040000" w:csb1="00000000"/>
  </w:font>
  <w:font w:name="仿宋">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variable"/>
    <w:sig w:usb0="00000001" w:usb1="080E0000" w:usb2="00000000" w:usb3="00000000" w:csb0="00040000" w:csb1="00000000"/>
  </w:font>
  <w:font w:name="??_GB2312">
    <w:altName w:val="Times New Roman"/>
    <w:panose1 w:val="00000000000000000000"/>
    <w:charset w:val="00"/>
    <w:family w:val="auto"/>
    <w:pitch w:val="variable"/>
    <w:sig w:usb0="00000000" w:usb1="00000000" w:usb2="00000000" w:usb3="00000000" w:csb0="00000001" w:csb1="00000000"/>
  </w:font>
  <w:font w:name="宋体">
    <w:altName w:val="方正书宋_GBK"/>
    <w:panose1 w:val="00000000000000000000"/>
    <w:charset w:val="00"/>
    <w:family w:val="auto"/>
    <w:pitch w:val="variable"/>
    <w:sig w:usb0="00000000" w:usb1="00000000" w:usb2="00000000" w:usb3="00000000" w:csb0="00040001" w:csb1="00000000"/>
  </w:font>
  <w:font w:name="Times New Roman">
    <w:panose1 w:val="02020603050405020304"/>
    <w:charset w:val="00"/>
    <w:family w:val="roman"/>
    <w:pitch w:val="variable"/>
    <w:sig w:usb0="20007A87" w:usb1="80000000" w:usb2="00000008" w:usb3="00000000" w:csb0="000001FF" w:csb1="00000000"/>
  </w:font>
  <w:font w:name="华文中宋">
    <w:altName w:val="微软雅黑"/>
    <w:panose1 w:val="02010600040101010101"/>
    <w:charset w:val="86"/>
    <w:family w:val="auto"/>
    <w:pitch w:val="variable"/>
    <w:sig w:usb0="00000287" w:usb1="080F0000" w:usb2="00000000" w:usb3="00000000" w:csb0="0004009F" w:csb1="DFD70000"/>
  </w:font>
  <w:font w:name="Arial">
    <w:altName w:val="Times New Roman"/>
    <w:panose1 w:val="020B0604020202020204"/>
    <w:charset w:val="01"/>
    <w:family w:val="swiss"/>
    <w:pitch w:val="variable"/>
    <w:sig w:usb0="E0002AFF" w:usb1="C0007843" w:usb2="00000009" w:usb3="00000000" w:csb0="400001FF" w:csb1="FFFF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3623AC0E"/>
    <w:multiLevelType w:val="singleLevel"/>
    <w:tmpl w:val="3623AC0E"/>
    <w:lvl w:ilvl="0">
      <w:start w:val="2"/>
      <w:numFmt w:val="decimal"/>
      <w:lvlRestart w:val="0"/>
      <w:suff w:val="nothing"/>
      <w:lvlText w:val="（%1）"/>
      <w:lvlJc w:val="left"/>
      <w:pPr>
        <w:ind w:left="0" w:hanging="0"/>
      </w:pPr>
    </w:lvl>
  </w:abstractNum>
  <w:abstractNum w:abstractNumId="1">
    <w:nsid w:val="2FEF57E9"/>
    <w:multiLevelType w:val="singleLevel"/>
    <w:tmpl w:val="2FEF57E9"/>
    <w:lvl w:ilvl="0">
      <w:start w:val="2"/>
      <w:numFmt w:val="decimal"/>
      <w:lvlRestart w:val="0"/>
      <w:suff w:val="nothing"/>
      <w:lvlText w:val="%1．"/>
      <w:lvlJc w:val="left"/>
      <w:pPr>
        <w:ind w:left="0" w:hanging="0"/>
      </w:pPr>
    </w:lvl>
  </w:abstractNum>
  <w:abstractNum w:abstractNumId="2">
    <w:nsid w:val="DE66F119"/>
    <w:multiLevelType w:val="singleLevel"/>
    <w:tmpl w:val="DE66F119"/>
    <w:lvl w:ilvl="0">
      <w:start w:val="2"/>
      <w:numFmt w:val="decimal"/>
      <w:lvlRestart w:val="0"/>
      <w:suff w:val="nothing"/>
      <w:lvlText w:val="%1．"/>
      <w:lvlJc w:val="left"/>
      <w:pPr>
        <w:ind w:left="0" w:hanging="0"/>
      </w:p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bordersDoNotSurroundHeader/>
  <w:bordersDoNotSurroundFooter/>
  <w:documentProtection w:edit="readOnly" w:enforcement="0"/>
  <w:defaultTabStop w:val="420"/>
  <w:drawingGridHorizontalSpacing w:val="16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compatSetting w:name="compatibilityMode" w:uri="http://schemas.microsoft.com/office/word" w:val="14"/>
  </w:compat>
  <w:docVars>
    <w:docVar w:name="commondata" w:val="eyJoZGlkIjoiZWM1NjM3NmFhMTU3MzhiYjdjY2Q5ZWE0OTY4ZDIyYWM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32"/>
      <w:szCs w:val="32"/>
      <w:lang w:val="en-US" w:eastAsia="zh-CN" w:bidi="ar-SA"/>
    </w:rPr>
  </w:style>
  <w:style w:type="paragraph" w:styleId="1">
    <w:name w:val="heading 1"/>
    <w:basedOn w:val="0"/>
    <w:next w:val="0"/>
    <w:pPr>
      <w:keepNext/>
      <w:keepLines/>
      <w:widowControl w:val="0"/>
      <w:spacing w:line="576" w:lineRule="auto"/>
      <w:outlineLvl w:val="0"/>
    </w:pPr>
    <w:rPr>
      <w:b/>
      <w:bCs/>
      <w:kern w:val="44"/>
      <w:sz w:val="44"/>
      <w:szCs w:val="44"/>
    </w:rPr>
  </w:style>
  <w:style w:type="paragraph" w:styleId="2">
    <w:name w:val="heading 2"/>
    <w:basedOn w:val="0"/>
    <w:next w:val="0"/>
    <w:pPr>
      <w:keepNext/>
      <w:keepLines/>
      <w:widowControl w:val="0"/>
      <w:spacing w:line="413" w:lineRule="auto"/>
      <w:outlineLvl w:val="1"/>
    </w:pPr>
    <w:rPr>
      <w:rFonts w:ascii="Arial" w:eastAsia="黑体" w:cs="Arial" w:hAnsi="Arial"/>
      <w:b/>
      <w:bCs/>
    </w:rPr>
  </w:style>
  <w:style w:type="paragraph" w:styleId="3">
    <w:name w:val="heading 3"/>
    <w:basedOn w:val="0"/>
    <w:next w:val="0"/>
    <w:pPr>
      <w:keepNext/>
      <w:keepLines/>
      <w:widowControl w:val="0"/>
      <w:spacing w:line="413" w:lineRule="auto"/>
      <w:outlineLvl w:val="2"/>
    </w:pPr>
    <w:rPr>
      <w:b/>
      <w:bCs/>
    </w:rPr>
  </w:style>
  <w:style w:type="paragraph" w:styleId="4">
    <w:name w:val="heading 4"/>
    <w:basedOn w:val="0"/>
    <w:next w:val="0"/>
    <w:pPr>
      <w:keepNext/>
      <w:keepLines/>
      <w:widowControl w:val="0"/>
      <w:spacing w:line="372" w:lineRule="auto"/>
      <w:outlineLvl w:val="3"/>
    </w:pPr>
    <w:rPr>
      <w:rFonts w:ascii="Arial" w:eastAsia="黑体" w:cs="Arial" w:hAnsi="Arial"/>
      <w:b/>
      <w:bCs/>
      <w:sz w:val="28"/>
      <w:szCs w:val="28"/>
    </w:rPr>
  </w:style>
  <w:style w:type="paragraph" w:styleId="5">
    <w:name w:val="heading 5"/>
    <w:basedOn w:val="0"/>
    <w:next w:val="0"/>
    <w:pPr>
      <w:keepNext/>
      <w:keepLines/>
      <w:widowControl w:val="0"/>
      <w:spacing w:line="372" w:lineRule="auto"/>
      <w:outlineLvl w:val="4"/>
    </w:pPr>
    <w:rPr>
      <w:b/>
      <w:bCs/>
      <w:sz w:val="28"/>
      <w:szCs w:val="28"/>
    </w:rPr>
  </w:style>
  <w:style w:type="paragraph" w:styleId="6">
    <w:name w:val="heading 6"/>
    <w:basedOn w:val="0"/>
    <w:next w:val="0"/>
    <w:pPr>
      <w:keepNext/>
      <w:keepLines/>
      <w:widowControl w:val="0"/>
      <w:spacing w:line="317" w:lineRule="auto"/>
      <w:outlineLvl w:val="5"/>
    </w:pPr>
    <w:rPr>
      <w:rFonts w:ascii="Arial" w:eastAsia="黑体" w:cs="Arial" w:hAnsi="Arial"/>
      <w:b/>
      <w:bCs/>
      <w:sz w:val="24"/>
      <w:szCs w:val="24"/>
    </w:rPr>
  </w:style>
  <w:style w:type="paragraph" w:styleId="7">
    <w:name w:val="heading 7"/>
    <w:basedOn w:val="0"/>
    <w:next w:val="0"/>
    <w:pPr>
      <w:keepNext/>
      <w:keepLines/>
      <w:widowControl w:val="0"/>
      <w:spacing w:line="317" w:lineRule="auto"/>
      <w:outlineLvl w:val="6"/>
    </w:pPr>
    <w:rPr>
      <w:b/>
      <w:bCs/>
      <w:sz w:val="24"/>
      <w:szCs w:val="24"/>
    </w:rPr>
  </w:style>
  <w:style w:type="paragraph" w:styleId="8">
    <w:name w:val="heading 8"/>
    <w:basedOn w:val="0"/>
    <w:next w:val="0"/>
    <w:pPr>
      <w:keepNext/>
      <w:keepLines/>
      <w:widowControl w:val="0"/>
      <w:spacing w:line="317" w:lineRule="auto"/>
      <w:outlineLvl w:val="7"/>
    </w:pPr>
    <w:rPr>
      <w:rFonts w:ascii="Arial" w:eastAsia="黑体" w:cs="Arial" w:hAnsi="Arial"/>
      <w:sz w:val="24"/>
      <w:szCs w:val="24"/>
    </w:rPr>
  </w:style>
  <w:style w:type="paragraph" w:styleId="9">
    <w:name w:val="heading 9"/>
    <w:basedOn w:val="0"/>
    <w:next w:val="0"/>
    <w:pPr>
      <w:keepNext/>
      <w:keepLines/>
      <w:widowControl w:val="0"/>
      <w:spacing w:line="317" w:lineRule="auto"/>
      <w:outlineLvl w:val="8"/>
    </w:pPr>
    <w:rPr>
      <w:rFonts w:ascii="Arial" w:eastAsia="黑体" w:cs="Arial" w:hAnsi="Arial"/>
      <w:sz w:val="21"/>
      <w:szCs w:val="21"/>
    </w:rPr>
  </w:style>
  <w:style w:type="character" w:default="1" w:styleId="10">
    <w:name w:val="Default Paragraph Font"/>
  </w:style>
  <w:style w:type="paragraph" w:customStyle="1" w:styleId="15">
    <w:name w:val="样式 标题 1 + 五号"/>
    <w:basedOn w:val="1"/>
    <w:rPr>
      <w:rFonts w:ascii="Times New Roman" w:eastAsia="宋体" w:cs="Times New Roman" w:hAnsi="Times New Roman"/>
    </w:rPr>
  </w:style>
  <w:style w:type="paragraph" w:styleId="16">
    <w:name w:val="Body Text Indent"/>
    <w:basedOn w:val="0"/>
    <w:pPr>
      <w:spacing w:after="120"/>
      <w:ind w:leftChars="200" w:left="200"/>
    </w:pPr>
    <w:rPr>
      <w:sz w:val="30"/>
      <w:szCs w:val="30"/>
    </w:r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sz w:val="18"/>
      <w:szCs w:val="18"/>
    </w:rPr>
  </w:style>
  <w:style w:type="paragraph" w:styleId="19">
    <w:name w:val="header"/>
    <w:basedOn w:val="0"/>
    <w:pPr>
      <w:pBdr>
        <w:bottom w:val="single" w:sz="6" w:space="1" w:color="auto"/>
      </w:pBdr>
      <w:tabs>
        <w:tab w:val="center" w:pos="4153"/>
        <w:tab w:val="right" w:pos="8306"/>
      </w:tabs>
      <w:snapToGrid w:val="0"/>
      <w:jc w:val="center"/>
    </w:pPr>
    <w:rPr>
      <w:sz w:val="18"/>
      <w:szCs w:val="18"/>
    </w:rPr>
  </w:style>
  <w:style w:type="paragraph" w:styleId="20">
    <w:name w:val="Normal (Web)"/>
    <w:basedOn w:val="0"/>
    <w:pPr>
      <w:widowControl/>
      <w:spacing w:before="100" w:beforeAutospacing="1" w:after="100" w:afterAutospacing="1"/>
      <w:jc w:val="left"/>
    </w:pPr>
    <w:rPr>
      <w:rFonts w:ascii="宋体" w:cs="宋体"/>
      <w:kern w:val="0"/>
      <w:sz w:val="24"/>
      <w:szCs w:val="24"/>
    </w:rPr>
  </w:style>
  <w:style w:type="paragraph" w:styleId="21">
    <w:name w:val="Body Text First Indent 2"/>
    <w:basedOn w:val="16"/>
    <w:pPr>
      <w:ind w:firstLineChars="200" w:firstLine="200"/>
    </w:pPr>
  </w:style>
  <w:style w:type="character" w:styleId="22">
    <w:name w:val="Strong"/>
    <w:basedOn w:val="10"/>
    <w:rPr>
      <w:b/>
      <w:bCs/>
    </w:rPr>
  </w:style>
  <w:style w:type="paragraph" w:styleId="23">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126</TotalTime>
  <Application>Yozo_Office27021597764231179</Application>
  <Pages>12</Pages>
  <Words>0</Words>
  <Characters>4384</Characters>
  <Lines>0</Lines>
  <Paragraphs>112</Paragraphs>
  <CharactersWithSpaces>5846</CharactersWithSpaces>
  <Company>Lenovo</Company>
</Properties>
</file>

<file path=docProps/core.xml><?xml version="1.0" encoding="utf-8"?>
<cp:coreProperties xmlns:cp="http://schemas.openxmlformats.org/package/2006/metadata/core-properties" xmlns:dc="http://purl.org/dc/elements/1.1/" xmlns:dcterms="http://purl.org/dc/terms/" xmlns:xsi="http://www.w3.org/2001/XMLSchema-instance">
  <dc:title>望城区接待服务中心2020年度部门决算分析报告</dc:title>
  <dc:creator>admin</dc:creator>
  <cp:lastModifiedBy>Administrator</cp:lastModifiedBy>
  <cp:revision>2</cp:revision>
  <cp:lastPrinted>2021-01-27T09:34:00Z</cp:lastPrinted>
  <dcterms:created xsi:type="dcterms:W3CDTF">2021-01-27T09:35:00Z</dcterms:created>
  <dcterms:modified xsi:type="dcterms:W3CDTF">2024-02-22T02:46:04Z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2052-11.8.2.10458</vt:lpwstr>
  </property>
  <property fmtid="{D5CDD505-2E9C-101B-9397-08002B2CF9AE}" pid="3" name="ICV">
    <vt:lpwstr>8CC604F5E6D54113BD0D4F23DA843B0F</vt:lpwstr>
  </property>
</Properties>
</file>