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Arial" w:hAnsi="Arial" w:eastAsia="宋体" w:cs="Arial"/>
          <w:b/>
          <w:bCs/>
          <w:color w:val="000000"/>
          <w:kern w:val="0"/>
          <w:sz w:val="31"/>
          <w:szCs w:val="31"/>
          <w:lang w:val="en-US" w:eastAsia="zh-CN" w:bidi="ar"/>
        </w:rPr>
        <w:t>2020</w:t>
      </w:r>
      <w:r>
        <w:rPr>
          <w:rFonts w:ascii="黑体" w:hAnsi="宋体" w:eastAsia="黑体" w:cs="黑体"/>
          <w:b/>
          <w:bCs/>
          <w:color w:val="000000"/>
          <w:kern w:val="0"/>
          <w:sz w:val="31"/>
          <w:szCs w:val="31"/>
          <w:lang w:val="en-US" w:eastAsia="zh-CN" w:bidi="ar"/>
        </w:rPr>
        <w:t>年部门整体支出绩效目标表</w:t>
      </w:r>
    </w:p>
    <w:p>
      <w:pPr>
        <w:widowControl/>
        <w:tabs>
          <w:tab w:val="left" w:pos="2593"/>
        </w:tabs>
        <w:jc w:val="left"/>
        <w:rPr>
          <w:rFonts w:hint="eastAsia" w:ascii="仿宋_GB2312" w:eastAsia="仿宋_GB2312"/>
          <w:kern w:val="0"/>
          <w:szCs w:val="21"/>
        </w:rPr>
      </w:pPr>
      <w:r>
        <w:rPr>
          <w:rFonts w:hint="eastAsia" w:ascii="仿宋_GB2312" w:eastAsia="仿宋_GB2312"/>
          <w:kern w:val="0"/>
          <w:sz w:val="24"/>
          <w:szCs w:val="21"/>
        </w:rPr>
        <w:t xml:space="preserve"> 填报单位：（盖章）</w:t>
      </w:r>
      <w:r>
        <w:rPr>
          <w:rFonts w:hint="eastAsia" w:ascii="仿宋_GB2312" w:eastAsia="仿宋_GB2312"/>
          <w:kern w:val="0"/>
          <w:szCs w:val="21"/>
        </w:rPr>
        <w:tab/>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部门名称</w:t>
            </w:r>
          </w:p>
        </w:tc>
        <w:tc>
          <w:tcPr>
            <w:tcW w:w="7681" w:type="dxa"/>
            <w:gridSpan w:val="5"/>
            <w:shd w:val="clear" w:color="auto" w:fill="auto"/>
            <w:noWrap w:val="0"/>
            <w:vAlign w:val="center"/>
          </w:tcPr>
          <w:p>
            <w:pPr>
              <w:keepNext w:val="0"/>
              <w:keepLines w:val="0"/>
              <w:widowControl/>
              <w:suppressLineNumbers w:val="0"/>
              <w:jc w:val="left"/>
              <w:rPr>
                <w:rFonts w:hint="eastAsia" w:ascii="仿宋_GB2312" w:eastAsia="宋体"/>
                <w:kern w:val="0"/>
                <w:szCs w:val="21"/>
                <w:lang w:val="en-US" w:eastAsia="zh-CN"/>
              </w:rPr>
            </w:pPr>
            <w:r>
              <w:rPr>
                <w:rFonts w:hint="eastAsia" w:ascii="宋体" w:hAnsi="宋体" w:eastAsia="宋体" w:cs="宋体"/>
                <w:color w:val="000000"/>
                <w:kern w:val="0"/>
                <w:sz w:val="22"/>
                <w:szCs w:val="22"/>
                <w:lang w:val="en-US" w:eastAsia="zh-CN" w:bidi="ar"/>
              </w:rPr>
              <w:t>中共长沙市望城区纪律检查委员会、长沙市望城区监察委员会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noWrap w:val="0"/>
            <w:vAlign w:val="center"/>
          </w:tcPr>
          <w:p>
            <w:pPr>
              <w:widowControl/>
              <w:jc w:val="center"/>
              <w:rPr>
                <w:rFonts w:hint="eastAsia" w:ascii="仿宋_GB2312" w:eastAsia="仿宋_GB2312"/>
                <w:kern w:val="0"/>
                <w:szCs w:val="21"/>
                <w:lang w:eastAsia="zh-CN"/>
              </w:rPr>
            </w:pPr>
            <w:r>
              <w:rPr>
                <w:rFonts w:hint="eastAsia" w:ascii="仿宋_GB2312" w:eastAsia="仿宋_GB2312"/>
                <w:kern w:val="0"/>
                <w:szCs w:val="21"/>
              </w:rPr>
              <w:t>年度预算申请</w:t>
            </w:r>
          </w:p>
          <w:p>
            <w:pPr>
              <w:widowControl/>
              <w:jc w:val="center"/>
              <w:rPr>
                <w:rFonts w:hint="eastAsia" w:ascii="仿宋_GB2312" w:eastAsia="仿宋_GB2312"/>
                <w:kern w:val="0"/>
                <w:szCs w:val="21"/>
              </w:rPr>
            </w:pPr>
            <w:r>
              <w:rPr>
                <w:rFonts w:hint="eastAsia" w:ascii="仿宋_GB2312" w:eastAsia="仿宋_GB2312"/>
                <w:kern w:val="0"/>
                <w:szCs w:val="21"/>
              </w:rPr>
              <w:t>（万元）</w:t>
            </w:r>
          </w:p>
        </w:tc>
        <w:tc>
          <w:tcPr>
            <w:tcW w:w="7681" w:type="dxa"/>
            <w:gridSpan w:val="5"/>
            <w:shd w:val="clear" w:color="auto" w:fill="auto"/>
            <w:noWrap w:val="0"/>
            <w:vAlign w:val="center"/>
          </w:tcPr>
          <w:p>
            <w:pPr>
              <w:widowControl/>
              <w:jc w:val="left"/>
              <w:rPr>
                <w:rFonts w:hint="eastAsia" w:ascii="仿宋_GB2312" w:eastAsia="仿宋_GB2312"/>
                <w:kern w:val="0"/>
                <w:szCs w:val="21"/>
                <w:lang w:eastAsia="zh-CN"/>
              </w:rPr>
            </w:pPr>
            <w:r>
              <w:rPr>
                <w:rFonts w:hint="eastAsia" w:ascii="仿宋_GB2312" w:eastAsia="仿宋_GB2312"/>
                <w:kern w:val="0"/>
                <w:szCs w:val="21"/>
              </w:rPr>
              <w:t>资金总额：2395</w:t>
            </w:r>
            <w:r>
              <w:rPr>
                <w:rFonts w:hint="eastAsia" w:ascii="仿宋_GB2312" w:eastAsia="仿宋_GB2312"/>
                <w:kern w:val="0"/>
                <w:szCs w:val="21"/>
                <w:lang w:val="en-US" w:eastAsia="zh-CN"/>
              </w:rPr>
              <w:t>.</w:t>
            </w:r>
            <w:r>
              <w:rPr>
                <w:rFonts w:hint="eastAsia" w:ascii="仿宋_GB2312" w:eastAsia="仿宋_GB2312"/>
                <w:kern w:val="0"/>
                <w:szCs w:val="21"/>
              </w:rPr>
              <w:t>6050</w:t>
            </w:r>
            <w:r>
              <w:rPr>
                <w:rFonts w:hint="eastAsia" w:ascii="仿宋_GB2312" w:eastAsia="仿宋_GB2312"/>
                <w:kern w:val="0"/>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lang w:eastAsia="zh-CN"/>
              </w:rPr>
            </w:pPr>
            <w:r>
              <w:rPr>
                <w:rFonts w:hint="eastAsia" w:ascii="仿宋_GB2312" w:eastAsia="仿宋_GB2312"/>
                <w:kern w:val="0"/>
                <w:szCs w:val="21"/>
                <w:lang w:eastAsia="zh-CN"/>
              </w:rPr>
              <w:t>w</w:t>
            </w:r>
          </w:p>
        </w:tc>
        <w:tc>
          <w:tcPr>
            <w:tcW w:w="3940" w:type="dxa"/>
            <w:gridSpan w:val="3"/>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按收入性质分：</w:t>
            </w:r>
          </w:p>
        </w:tc>
        <w:tc>
          <w:tcPr>
            <w:tcW w:w="3741" w:type="dxa"/>
            <w:gridSpan w:val="2"/>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3940" w:type="dxa"/>
            <w:gridSpan w:val="3"/>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其中：  一般公共预算：2395</w:t>
            </w:r>
            <w:r>
              <w:rPr>
                <w:rFonts w:hint="eastAsia" w:ascii="仿宋_GB2312" w:eastAsia="仿宋_GB2312"/>
                <w:kern w:val="0"/>
                <w:szCs w:val="21"/>
                <w:lang w:val="en-US" w:eastAsia="zh-CN"/>
              </w:rPr>
              <w:t>.</w:t>
            </w:r>
            <w:r>
              <w:rPr>
                <w:rFonts w:hint="eastAsia" w:ascii="仿宋_GB2312" w:eastAsia="仿宋_GB2312"/>
                <w:kern w:val="0"/>
                <w:szCs w:val="21"/>
              </w:rPr>
              <w:t>6050</w:t>
            </w:r>
            <w:r>
              <w:rPr>
                <w:rFonts w:hint="eastAsia" w:ascii="仿宋_GB2312" w:eastAsia="仿宋_GB2312"/>
                <w:kern w:val="0"/>
                <w:szCs w:val="21"/>
                <w:lang w:eastAsia="zh-CN"/>
              </w:rPr>
              <w:t>万元</w:t>
            </w:r>
          </w:p>
        </w:tc>
        <w:tc>
          <w:tcPr>
            <w:tcW w:w="3741" w:type="dxa"/>
            <w:gridSpan w:val="2"/>
            <w:shd w:val="clear" w:color="auto" w:fill="auto"/>
            <w:noWrap w:val="0"/>
            <w:vAlign w:val="center"/>
          </w:tcPr>
          <w:p>
            <w:pPr>
              <w:widowControl/>
              <w:jc w:val="left"/>
              <w:rPr>
                <w:rFonts w:hint="eastAsia" w:ascii="仿宋_GB2312" w:eastAsia="仿宋_GB2312"/>
                <w:kern w:val="0"/>
                <w:szCs w:val="21"/>
                <w:lang w:val="en-US" w:eastAsia="zh-CN"/>
              </w:rPr>
            </w:pPr>
            <w:r>
              <w:rPr>
                <w:rFonts w:hint="eastAsia" w:ascii="仿宋_GB2312" w:eastAsia="仿宋_GB2312"/>
                <w:kern w:val="0"/>
                <w:szCs w:val="21"/>
              </w:rPr>
              <w:t>其中： 基本支出：1512</w:t>
            </w:r>
            <w:r>
              <w:rPr>
                <w:rFonts w:hint="eastAsia" w:ascii="仿宋_GB2312" w:eastAsia="仿宋_GB2312"/>
                <w:kern w:val="0"/>
                <w:szCs w:val="21"/>
                <w:lang w:val="en-US" w:eastAsia="zh-CN"/>
              </w:rPr>
              <w:t>.</w:t>
            </w:r>
            <w:r>
              <w:rPr>
                <w:rFonts w:hint="eastAsia" w:ascii="仿宋_GB2312" w:eastAsia="仿宋_GB2312"/>
                <w:kern w:val="0"/>
                <w:szCs w:val="21"/>
              </w:rPr>
              <w:t>6050</w:t>
            </w:r>
            <w:r>
              <w:rPr>
                <w:rFonts w:hint="eastAsia" w:ascii="仿宋_GB2312" w:eastAsia="仿宋_GB2312"/>
                <w:kern w:val="0"/>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3940" w:type="dxa"/>
            <w:gridSpan w:val="3"/>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政府性基金拨款：</w:t>
            </w:r>
          </w:p>
        </w:tc>
        <w:tc>
          <w:tcPr>
            <w:tcW w:w="3741" w:type="dxa"/>
            <w:gridSpan w:val="2"/>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项目支出：883</w:t>
            </w:r>
            <w:r>
              <w:rPr>
                <w:rFonts w:hint="eastAsia" w:ascii="仿宋_GB2312" w:eastAsia="仿宋_GB2312"/>
                <w:kern w:val="0"/>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3940" w:type="dxa"/>
            <w:gridSpan w:val="3"/>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纳入专户管理的非税收入拨款：</w:t>
            </w:r>
          </w:p>
        </w:tc>
        <w:tc>
          <w:tcPr>
            <w:tcW w:w="3741" w:type="dxa"/>
            <w:gridSpan w:val="2"/>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3940" w:type="dxa"/>
            <w:gridSpan w:val="3"/>
            <w:shd w:val="clear" w:color="auto" w:fill="auto"/>
            <w:noWrap w:val="0"/>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其他资金：</w:t>
            </w:r>
          </w:p>
        </w:tc>
        <w:tc>
          <w:tcPr>
            <w:tcW w:w="3741" w:type="dxa"/>
            <w:gridSpan w:val="2"/>
            <w:shd w:val="clear" w:color="auto" w:fill="auto"/>
            <w:noWrap w:val="0"/>
            <w:vAlign w:val="center"/>
          </w:tcPr>
          <w:p>
            <w:pPr>
              <w:widowControl/>
              <w:jc w:val="left"/>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761"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部门职能</w:t>
            </w:r>
          </w:p>
          <w:p>
            <w:pPr>
              <w:widowControl/>
              <w:jc w:val="center"/>
              <w:rPr>
                <w:rFonts w:hint="eastAsia" w:ascii="仿宋_GB2312" w:eastAsia="仿宋_GB2312"/>
                <w:kern w:val="0"/>
                <w:szCs w:val="21"/>
              </w:rPr>
            </w:pPr>
            <w:r>
              <w:rPr>
                <w:rFonts w:hint="eastAsia" w:ascii="仿宋_GB2312" w:eastAsia="仿宋_GB2312"/>
                <w:kern w:val="0"/>
                <w:szCs w:val="21"/>
              </w:rPr>
              <w:t>职责概述</w:t>
            </w:r>
          </w:p>
        </w:tc>
        <w:tc>
          <w:tcPr>
            <w:tcW w:w="7681" w:type="dxa"/>
            <w:gridSpan w:val="5"/>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1.负责全区党的纪律检查工作。贯彻落实党中央、中央纪委、省委、省纪委、市委、市纪委、区委关于纪律检查工作的决定，维护党的章程和其他党内法规，检查党的路线方针政策和决议的执行情况，协助区委推进全面从严治党、加强党风廉政建设和组织协调反腐败工作。</w:t>
            </w:r>
            <w:bookmarkStart w:id="0" w:name="_GoBack"/>
            <w:bookmarkEnd w:id="0"/>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2.依照党的章程和其他党内法规履行监督、执纪、问责职责。负责经常对党员进行遵守纪律的教育，作出关于维护党纪的决定；对区委工作部门和区委批准设立的党组（党委），街镇党（工）委、纪（工）委等党的组织以及区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3.在区委领导下组织开展巡察工作。</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4.负责全区监察工作。贯彻落实党中央、中央纪委国家监委、省纪委省监委、市纪委市监委及区委关于监察工作的决定，维护宪法法律，依法对区委管理的行使公权力的公职人员进行监察，调查职务违法和职务犯罪，开展廉政建设和反腐败工作。</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5.依照法律规定履行监督、调查、处置职责。推动开展廉政教育，对区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6.负责组织协调全区全面从严治党、党风廉政建设和反腐败宣传教育工作。</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7.负责综合分析全区全面从严治党、党风廉政建设和反腐败工作情况，对纪检监察工作重要理论及实践问题进行调查研究；制定本区规范性文件。</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8.负责协调落实中央纪委国家监委、省纪委省监委、市纪委市监委交办的反腐败国际交流、合作等方面事宜；加强对全区反腐败国际追逃追赃和防逃工作的组织协调，督促有关单位做好相关工作。</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lang w:val="en-US" w:eastAsia="zh-CN"/>
              </w:rPr>
            </w:pPr>
            <w:r>
              <w:rPr>
                <w:rFonts w:hint="eastAsia" w:ascii="仿宋_GB2312" w:eastAsia="仿宋_GB2312"/>
                <w:kern w:val="0"/>
                <w:szCs w:val="21"/>
                <w:lang w:val="en-US" w:eastAsia="zh-CN"/>
              </w:rPr>
              <w:t>9.根据干部管理权限，负责全区纪检监察系统领导班子建设、干部队伍建设和组织建设的综合规划、政策研究、制度建设和业务指导；会同有关方面做好区纪委区监委派驻（出）机构、街镇纪检监察组织、区直单位纪检监察组织领导班子建设有关工作，组织和指导全区纪检监察系统干部教育培训工作等。</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eastAsia="仿宋_GB2312"/>
                <w:sz w:val="32"/>
                <w:szCs w:val="32"/>
              </w:rPr>
            </w:pPr>
            <w:r>
              <w:rPr>
                <w:rFonts w:hint="eastAsia" w:ascii="仿宋_GB2312" w:eastAsia="仿宋_GB2312"/>
                <w:kern w:val="0"/>
                <w:szCs w:val="21"/>
                <w:lang w:val="en-US" w:eastAsia="zh-CN"/>
              </w:rPr>
              <w:t>10.完成中央纪委国家监委，省纪委省监委、市纪委市监委和区委交办的其他任务。</w:t>
            </w:r>
          </w:p>
          <w:p>
            <w:pPr>
              <w:widowControl/>
              <w:jc w:val="left"/>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761"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整体绩效目标</w:t>
            </w:r>
          </w:p>
        </w:tc>
        <w:tc>
          <w:tcPr>
            <w:tcW w:w="7681" w:type="dxa"/>
            <w:gridSpan w:val="5"/>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eastAsia="仿宋_GB2312"/>
                <w:kern w:val="0"/>
                <w:szCs w:val="21"/>
              </w:rPr>
            </w:pPr>
            <w:r>
              <w:rPr>
                <w:rFonts w:hint="eastAsia" w:ascii="仿宋_GB2312" w:eastAsia="仿宋_GB2312"/>
                <w:kern w:val="0"/>
                <w:szCs w:val="21"/>
                <w:lang w:val="en-US" w:eastAsia="zh-CN"/>
              </w:rPr>
              <w:t>践行“两个维护”，切实强化政治监督；纠“四风”树新风，集中整治形式主义官僚主义；深化纪检监察体制改革，构建权威高效监督体系。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部门整体支出</w:t>
            </w:r>
          </w:p>
          <w:p>
            <w:pPr>
              <w:jc w:val="center"/>
              <w:rPr>
                <w:rFonts w:hint="eastAsia" w:ascii="仿宋_GB2312" w:eastAsia="仿宋_GB2312"/>
                <w:kern w:val="0"/>
                <w:szCs w:val="21"/>
              </w:rPr>
            </w:pPr>
            <w:r>
              <w:rPr>
                <w:rFonts w:hint="eastAsia" w:ascii="仿宋_GB2312" w:eastAsia="仿宋_GB2312"/>
                <w:kern w:val="0"/>
                <w:szCs w:val="21"/>
              </w:rPr>
              <w:t>年度绩效指标</w:t>
            </w:r>
          </w:p>
        </w:tc>
        <w:tc>
          <w:tcPr>
            <w:tcW w:w="1147"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一级指标</w:t>
            </w:r>
          </w:p>
        </w:tc>
        <w:tc>
          <w:tcPr>
            <w:tcW w:w="1843"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二级指标</w:t>
            </w:r>
          </w:p>
        </w:tc>
        <w:tc>
          <w:tcPr>
            <w:tcW w:w="2062" w:type="dxa"/>
            <w:gridSpan w:val="2"/>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三级指标</w:t>
            </w:r>
          </w:p>
        </w:tc>
        <w:tc>
          <w:tcPr>
            <w:tcW w:w="2629" w:type="dxa"/>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restart"/>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产出指标</w:t>
            </w: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数量指标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质量指标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成本指标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时效指标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center"/>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restart"/>
            <w:shd w:val="clear" w:color="auto" w:fill="auto"/>
            <w:noWrap w:val="0"/>
            <w:vAlign w:val="center"/>
          </w:tcPr>
          <w:p>
            <w:pPr>
              <w:widowControl/>
              <w:jc w:val="center"/>
              <w:rPr>
                <w:rFonts w:hint="eastAsia" w:ascii="仿宋_GB2312" w:eastAsia="仿宋_GB2312"/>
                <w:kern w:val="0"/>
                <w:szCs w:val="21"/>
              </w:rPr>
            </w:pPr>
            <w:r>
              <w:rPr>
                <w:rFonts w:hint="eastAsia" w:ascii="仿宋_GB2312" w:eastAsia="仿宋_GB2312"/>
                <w:kern w:val="0"/>
                <w:szCs w:val="21"/>
              </w:rPr>
              <w:t>效益指标</w:t>
            </w: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经济效益指标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社会效益指标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生态效益指标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可持续影响指标</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restart"/>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社会公众或服务对象满意度</w:t>
            </w:r>
          </w:p>
        </w:tc>
        <w:tc>
          <w:tcPr>
            <w:tcW w:w="2062" w:type="dxa"/>
            <w:gridSpan w:val="2"/>
            <w:shd w:val="clear" w:color="auto" w:fill="auto"/>
            <w:noWrap w:val="0"/>
            <w:vAlign w:val="center"/>
          </w:tcPr>
          <w:p>
            <w:pPr>
              <w:jc w:val="center"/>
              <w:rPr>
                <w:rFonts w:hint="eastAsia" w:ascii="仿宋_GB2312" w:eastAsia="仿宋_GB2312"/>
                <w:kern w:val="0"/>
                <w:szCs w:val="21"/>
              </w:rPr>
            </w:pPr>
          </w:p>
        </w:tc>
        <w:tc>
          <w:tcPr>
            <w:tcW w:w="2629" w:type="dxa"/>
            <w:shd w:val="clear" w:color="auto" w:fill="auto"/>
            <w:noWrap w:val="0"/>
            <w:vAlign w:val="center"/>
          </w:tcPr>
          <w:p>
            <w:pPr>
              <w:jc w:val="center"/>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shd w:val="clear" w:color="auto" w:fill="auto"/>
            <w:noWrap w:val="0"/>
            <w:vAlign w:val="center"/>
          </w:tcPr>
          <w:p>
            <w:pPr>
              <w:widowControl/>
              <w:jc w:val="left"/>
              <w:rPr>
                <w:rFonts w:hint="eastAsia" w:ascii="仿宋_GB2312" w:eastAsia="仿宋_GB2312"/>
                <w:kern w:val="0"/>
                <w:szCs w:val="21"/>
              </w:rPr>
            </w:pPr>
          </w:p>
        </w:tc>
        <w:tc>
          <w:tcPr>
            <w:tcW w:w="1147" w:type="dxa"/>
            <w:vMerge w:val="continue"/>
            <w:shd w:val="clear" w:color="auto" w:fill="auto"/>
            <w:noWrap w:val="0"/>
            <w:vAlign w:val="center"/>
          </w:tcPr>
          <w:p>
            <w:pPr>
              <w:widowControl/>
              <w:jc w:val="center"/>
              <w:rPr>
                <w:rFonts w:hint="eastAsia" w:ascii="仿宋_GB2312" w:eastAsia="仿宋_GB2312"/>
                <w:kern w:val="0"/>
                <w:szCs w:val="21"/>
              </w:rPr>
            </w:pPr>
          </w:p>
        </w:tc>
        <w:tc>
          <w:tcPr>
            <w:tcW w:w="1843" w:type="dxa"/>
            <w:vMerge w:val="continue"/>
            <w:shd w:val="clear" w:color="auto" w:fill="auto"/>
            <w:noWrap w:val="0"/>
            <w:vAlign w:val="center"/>
          </w:tcPr>
          <w:p>
            <w:pPr>
              <w:jc w:val="center"/>
              <w:rPr>
                <w:rFonts w:hint="eastAsia" w:ascii="仿宋_GB2312" w:eastAsia="仿宋_GB2312"/>
                <w:kern w:val="0"/>
                <w:szCs w:val="21"/>
              </w:rPr>
            </w:pPr>
          </w:p>
        </w:tc>
        <w:tc>
          <w:tcPr>
            <w:tcW w:w="2062" w:type="dxa"/>
            <w:gridSpan w:val="2"/>
            <w:shd w:val="clear" w:color="auto" w:fill="auto"/>
            <w:noWrap w:val="0"/>
            <w:vAlign w:val="center"/>
          </w:tcPr>
          <w:p>
            <w:pPr>
              <w:jc w:val="center"/>
              <w:rPr>
                <w:rFonts w:hint="eastAsia" w:ascii="仿宋_GB2312" w:eastAsia="仿宋_GB2312"/>
                <w:kern w:val="0"/>
                <w:szCs w:val="21"/>
              </w:rPr>
            </w:pPr>
            <w:r>
              <w:rPr>
                <w:rFonts w:hint="eastAsia" w:ascii="仿宋_GB2312" w:eastAsia="仿宋_GB2312"/>
                <w:kern w:val="0"/>
                <w:szCs w:val="21"/>
              </w:rPr>
              <w:t>……</w:t>
            </w:r>
          </w:p>
        </w:tc>
        <w:tc>
          <w:tcPr>
            <w:tcW w:w="2629" w:type="dxa"/>
            <w:shd w:val="clear" w:color="auto" w:fill="auto"/>
            <w:noWrap w:val="0"/>
            <w:vAlign w:val="center"/>
          </w:tcPr>
          <w:p>
            <w:pPr>
              <w:jc w:val="center"/>
              <w:rPr>
                <w:rFonts w:hint="eastAsia" w:ascii="仿宋_GB2312" w:eastAsia="仿宋_GB2312"/>
                <w:kern w:val="0"/>
                <w:szCs w:val="21"/>
              </w:rPr>
            </w:pPr>
          </w:p>
        </w:tc>
      </w:tr>
    </w:tbl>
    <w:p>
      <w:pPr>
        <w:widowControl/>
        <w:tabs>
          <w:tab w:val="left" w:pos="1333"/>
          <w:tab w:val="left" w:pos="3793"/>
          <w:tab w:val="left" w:pos="5853"/>
        </w:tabs>
        <w:jc w:val="left"/>
        <w:rPr>
          <w:rFonts w:hint="eastAsia"/>
          <w:kern w:val="0"/>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iN2U3NjdlMTRlNjU5ZDRkZmJmYmE4YTg3YzhhZWUifQ=="/>
  </w:docVars>
  <w:rsids>
    <w:rsidRoot w:val="472B34E2"/>
    <w:rsid w:val="010F5752"/>
    <w:rsid w:val="22F54CA9"/>
    <w:rsid w:val="2AB7615D"/>
    <w:rsid w:val="3003502C"/>
    <w:rsid w:val="316B58D3"/>
    <w:rsid w:val="4381516D"/>
    <w:rsid w:val="472B34E2"/>
    <w:rsid w:val="58105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1388</Words>
  <Characters>1428</Characters>
  <Lines>0</Lines>
  <Paragraphs>0</Paragraphs>
  <TotalTime>1</TotalTime>
  <ScaleCrop>false</ScaleCrop>
  <LinksUpToDate>false</LinksUpToDate>
  <CharactersWithSpaces>1467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2021-05-24T08:18:00Z</dcterms:created>
  <dc:creator>嗨</dc:creator>
  <cp:lastModifiedBy>嗨</cp:lastModifiedBy>
  <dcterms:modified xsi:type="dcterms:W3CDTF">2022-11-11T06:54:53Z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2B4494D2FEF7434B94CEFD5C3EC063E4</vt:lpwstr>
  </property>
</Properties>
</file>