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jc w:val="center"/>
        <w:rPr>
          <w:rFonts w:hint="eastAsia" w:ascii="宋体" w:hAnsi="宋体" w:eastAsia="宋体" w:cs="宋体"/>
          <w:b/>
          <w:bCs/>
          <w:sz w:val="32"/>
          <w:szCs w:val="32"/>
        </w:rPr>
      </w:pPr>
      <w:r>
        <w:rPr>
          <w:rFonts w:hint="eastAsia" w:ascii="宋体" w:hAnsi="宋体" w:eastAsia="宋体" w:cs="宋体"/>
          <w:b/>
          <w:bCs/>
          <w:sz w:val="32"/>
          <w:szCs w:val="32"/>
        </w:rPr>
        <w:t>中共长沙市望城区纪律检查委员会</w:t>
      </w:r>
    </w:p>
    <w:p>
      <w:pPr>
        <w:keepNext w:val="0"/>
        <w:keepLines w:val="0"/>
        <w:pageBreakBefore w:val="0"/>
        <w:widowControl/>
        <w:kinsoku/>
        <w:wordWrap/>
        <w:overflowPunct/>
        <w:topLinePunct w:val="0"/>
        <w:autoSpaceDE/>
        <w:autoSpaceDN/>
        <w:bidi w:val="0"/>
        <w:adjustRightInd/>
        <w:snapToGrid/>
        <w:spacing w:line="560" w:lineRule="exact"/>
        <w:jc w:val="center"/>
        <w:rPr>
          <w:rFonts w:hint="eastAsia" w:ascii="宋体" w:hAnsi="宋体" w:eastAsia="宋体" w:cs="宋体"/>
          <w:b/>
          <w:bCs/>
          <w:sz w:val="32"/>
          <w:szCs w:val="32"/>
        </w:rPr>
      </w:pPr>
      <w:r>
        <w:rPr>
          <w:rFonts w:hint="eastAsia" w:ascii="宋体" w:hAnsi="宋体" w:eastAsia="宋体" w:cs="宋体"/>
          <w:b/>
          <w:bCs/>
          <w:sz w:val="32"/>
          <w:szCs w:val="32"/>
        </w:rPr>
        <w:t>长沙市望城区监察委员会</w:t>
      </w:r>
    </w:p>
    <w:p>
      <w:pPr>
        <w:keepNext w:val="0"/>
        <w:keepLines w:val="0"/>
        <w:pageBreakBefore w:val="0"/>
        <w:widowControl/>
        <w:kinsoku/>
        <w:wordWrap/>
        <w:overflowPunct/>
        <w:topLinePunct w:val="0"/>
        <w:autoSpaceDE/>
        <w:autoSpaceDN/>
        <w:bidi w:val="0"/>
        <w:adjustRightInd/>
        <w:snapToGrid/>
        <w:spacing w:line="560" w:lineRule="exact"/>
        <w:jc w:val="center"/>
        <w:rPr>
          <w:rFonts w:ascii="Times New Roman" w:hAnsi="Times New Roman" w:eastAsia="方正小标宋简体"/>
          <w:kern w:val="0"/>
          <w:sz w:val="40"/>
          <w:szCs w:val="40"/>
        </w:rPr>
      </w:pPr>
      <w:r>
        <w:rPr>
          <w:rFonts w:hint="eastAsia" w:ascii="宋体" w:hAnsi="宋体" w:eastAsia="宋体" w:cs="宋体"/>
          <w:b/>
          <w:bCs/>
          <w:sz w:val="32"/>
          <w:szCs w:val="32"/>
          <w:lang w:val="en-US" w:eastAsia="zh-CN"/>
        </w:rPr>
        <w:t>2019年</w:t>
      </w:r>
      <w:r>
        <w:rPr>
          <w:rFonts w:hint="eastAsia" w:ascii="宋体" w:hAnsi="宋体" w:eastAsia="宋体" w:cs="宋体"/>
          <w:b/>
          <w:bCs/>
          <w:sz w:val="32"/>
          <w:szCs w:val="32"/>
          <w:lang w:eastAsia="zh-CN"/>
        </w:rPr>
        <w:t>整体支出绩效自评表</w:t>
      </w:r>
      <w:bookmarkStart w:id="0" w:name="_GoBack"/>
      <w:bookmarkEnd w:id="0"/>
    </w:p>
    <w:tbl>
      <w:tblPr>
        <w:tblStyle w:val="4"/>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503"/>
        <w:gridCol w:w="503"/>
        <w:gridCol w:w="156"/>
        <w:gridCol w:w="407"/>
        <w:gridCol w:w="525"/>
        <w:gridCol w:w="600"/>
        <w:gridCol w:w="1380"/>
        <w:gridCol w:w="2671"/>
        <w:gridCol w:w="131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509" w:type="dxa"/>
            <w:gridSpan w:val="3"/>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部门名称</w:t>
            </w:r>
          </w:p>
        </w:tc>
        <w:tc>
          <w:tcPr>
            <w:tcW w:w="3571" w:type="dxa"/>
            <w:gridSpan w:val="6"/>
            <w:noWrap w:val="0"/>
            <w:tcMar>
              <w:top w:w="15" w:type="dxa"/>
              <w:left w:w="15" w:type="dxa"/>
              <w:bottom w:w="0" w:type="dxa"/>
              <w:right w:w="15" w:type="dxa"/>
            </w:tcMar>
            <w:vAlign w:val="center"/>
          </w:tcPr>
          <w:p>
            <w:pPr>
              <w:spacing w:line="250" w:lineRule="exact"/>
              <w:jc w:val="center"/>
              <w:rPr>
                <w:rFonts w:hint="eastAsia" w:ascii="Times New Roman" w:hAnsi="Times New Roman" w:eastAsia="宋体"/>
                <w:color w:val="000000"/>
                <w:sz w:val="21"/>
                <w:szCs w:val="21"/>
                <w:lang w:eastAsia="zh-CN"/>
              </w:rPr>
            </w:pPr>
            <w:r>
              <w:rPr>
                <w:rFonts w:hint="eastAsia" w:ascii="Times New Roman" w:hAnsi="Times New Roman" w:eastAsia="宋体"/>
                <w:color w:val="000000"/>
                <w:sz w:val="21"/>
                <w:szCs w:val="21"/>
                <w:lang w:eastAsia="zh-CN"/>
              </w:rPr>
              <w:t>中共长沙市望城区纪律检查委员会</w:t>
            </w:r>
          </w:p>
          <w:p>
            <w:pPr>
              <w:spacing w:line="250" w:lineRule="exact"/>
              <w:jc w:val="center"/>
              <w:rPr>
                <w:rFonts w:ascii="Times New Roman" w:hAnsi="Times New Roman" w:eastAsia="宋体"/>
                <w:color w:val="000000"/>
                <w:sz w:val="21"/>
                <w:szCs w:val="21"/>
              </w:rPr>
            </w:pPr>
            <w:r>
              <w:rPr>
                <w:rFonts w:hint="eastAsia" w:ascii="Times New Roman" w:hAnsi="Times New Roman" w:eastAsia="宋体"/>
                <w:color w:val="000000"/>
                <w:sz w:val="21"/>
                <w:szCs w:val="21"/>
                <w:lang w:eastAsia="zh-CN"/>
              </w:rPr>
              <w:t>长沙市望城区监察委员会</w:t>
            </w:r>
          </w:p>
        </w:tc>
        <w:tc>
          <w:tcPr>
            <w:tcW w:w="2671" w:type="dxa"/>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下属单位个数</w:t>
            </w:r>
          </w:p>
        </w:tc>
        <w:tc>
          <w:tcPr>
            <w:tcW w:w="1312" w:type="dxa"/>
            <w:noWrap w:val="0"/>
            <w:tcMar>
              <w:top w:w="15" w:type="dxa"/>
              <w:left w:w="15" w:type="dxa"/>
              <w:bottom w:w="0" w:type="dxa"/>
              <w:right w:w="15" w:type="dxa"/>
            </w:tcMar>
            <w:vAlign w:val="center"/>
          </w:tcPr>
          <w:p>
            <w:pPr>
              <w:spacing w:line="250" w:lineRule="exact"/>
              <w:jc w:val="center"/>
              <w:rPr>
                <w:rFonts w:hint="eastAsia"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509" w:type="dxa"/>
            <w:gridSpan w:val="3"/>
            <w:vMerge w:val="restart"/>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整体支出规模</w:t>
            </w:r>
          </w:p>
        </w:tc>
        <w:tc>
          <w:tcPr>
            <w:tcW w:w="2191" w:type="dxa"/>
            <w:gridSpan w:val="5"/>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项   目</w:t>
            </w:r>
          </w:p>
        </w:tc>
        <w:tc>
          <w:tcPr>
            <w:tcW w:w="1380" w:type="dxa"/>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全年预算数</w:t>
            </w:r>
          </w:p>
        </w:tc>
        <w:tc>
          <w:tcPr>
            <w:tcW w:w="2671" w:type="dxa"/>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全年执行数</w:t>
            </w:r>
          </w:p>
        </w:tc>
        <w:tc>
          <w:tcPr>
            <w:tcW w:w="1312" w:type="dxa"/>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509" w:type="dxa"/>
            <w:gridSpan w:val="3"/>
            <w:vMerge w:val="continue"/>
            <w:noWrap w:val="0"/>
            <w:vAlign w:val="center"/>
          </w:tcPr>
          <w:p>
            <w:pPr>
              <w:spacing w:line="250" w:lineRule="exact"/>
              <w:jc w:val="center"/>
              <w:rPr>
                <w:rFonts w:ascii="Times New Roman" w:hAnsi="Times New Roman" w:eastAsia="宋体"/>
                <w:color w:val="000000"/>
                <w:sz w:val="21"/>
                <w:szCs w:val="21"/>
              </w:rPr>
            </w:pPr>
          </w:p>
        </w:tc>
        <w:tc>
          <w:tcPr>
            <w:tcW w:w="659" w:type="dxa"/>
            <w:gridSpan w:val="2"/>
            <w:vMerge w:val="restart"/>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资</w:t>
            </w:r>
          </w:p>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金</w:t>
            </w:r>
          </w:p>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来</w:t>
            </w:r>
          </w:p>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源</w:t>
            </w:r>
          </w:p>
          <w:p>
            <w:pPr>
              <w:spacing w:line="250" w:lineRule="exact"/>
              <w:jc w:val="center"/>
              <w:rPr>
                <w:rFonts w:ascii="Times New Roman" w:hAnsi="Times New Roman" w:eastAsia="宋体"/>
                <w:color w:val="000000"/>
                <w:sz w:val="21"/>
                <w:szCs w:val="21"/>
              </w:rPr>
            </w:pPr>
          </w:p>
        </w:tc>
        <w:tc>
          <w:tcPr>
            <w:tcW w:w="1532" w:type="dxa"/>
            <w:gridSpan w:val="3"/>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合计</w:t>
            </w:r>
          </w:p>
        </w:tc>
        <w:tc>
          <w:tcPr>
            <w:tcW w:w="1380" w:type="dxa"/>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24,064,074.25</w:t>
            </w:r>
          </w:p>
        </w:tc>
        <w:tc>
          <w:tcPr>
            <w:tcW w:w="2671" w:type="dxa"/>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24,064,074.25</w:t>
            </w:r>
          </w:p>
        </w:tc>
        <w:tc>
          <w:tcPr>
            <w:tcW w:w="1312" w:type="dxa"/>
            <w:noWrap w:val="0"/>
            <w:tcMar>
              <w:top w:w="15" w:type="dxa"/>
              <w:left w:w="15" w:type="dxa"/>
              <w:bottom w:w="0" w:type="dxa"/>
              <w:right w:w="15" w:type="dxa"/>
            </w:tcMar>
            <w:vAlign w:val="center"/>
          </w:tcPr>
          <w:p>
            <w:pPr>
              <w:spacing w:line="250" w:lineRule="exact"/>
              <w:jc w:val="center"/>
              <w:rPr>
                <w:rFonts w:hint="eastAsia"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509" w:type="dxa"/>
            <w:gridSpan w:val="3"/>
            <w:vMerge w:val="continue"/>
            <w:noWrap w:val="0"/>
            <w:vAlign w:val="center"/>
          </w:tcPr>
          <w:p>
            <w:pPr>
              <w:spacing w:line="250" w:lineRule="exact"/>
              <w:jc w:val="center"/>
              <w:rPr>
                <w:rFonts w:ascii="Times New Roman" w:hAnsi="Times New Roman" w:eastAsia="宋体"/>
                <w:color w:val="000000"/>
                <w:sz w:val="21"/>
                <w:szCs w:val="21"/>
              </w:rPr>
            </w:pPr>
          </w:p>
        </w:tc>
        <w:tc>
          <w:tcPr>
            <w:tcW w:w="659" w:type="dxa"/>
            <w:gridSpan w:val="2"/>
            <w:vMerge w:val="continue"/>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p>
        </w:tc>
        <w:tc>
          <w:tcPr>
            <w:tcW w:w="1532" w:type="dxa"/>
            <w:gridSpan w:val="3"/>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（1）财政拨款</w:t>
            </w:r>
          </w:p>
        </w:tc>
        <w:tc>
          <w:tcPr>
            <w:tcW w:w="1380" w:type="dxa"/>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24,064,074.25</w:t>
            </w:r>
          </w:p>
        </w:tc>
        <w:tc>
          <w:tcPr>
            <w:tcW w:w="2671" w:type="dxa"/>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24,064,074.25</w:t>
            </w:r>
          </w:p>
        </w:tc>
        <w:tc>
          <w:tcPr>
            <w:tcW w:w="1312" w:type="dxa"/>
            <w:noWrap w:val="0"/>
            <w:tcMar>
              <w:top w:w="15" w:type="dxa"/>
              <w:left w:w="15" w:type="dxa"/>
              <w:bottom w:w="0" w:type="dxa"/>
              <w:right w:w="15" w:type="dxa"/>
            </w:tcMar>
            <w:vAlign w:val="center"/>
          </w:tcPr>
          <w:p>
            <w:pPr>
              <w:spacing w:line="250" w:lineRule="exact"/>
              <w:jc w:val="center"/>
              <w:rPr>
                <w:rFonts w:hint="default"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509" w:type="dxa"/>
            <w:gridSpan w:val="3"/>
            <w:vMerge w:val="continue"/>
            <w:noWrap w:val="0"/>
            <w:vAlign w:val="center"/>
          </w:tcPr>
          <w:p>
            <w:pPr>
              <w:spacing w:line="250" w:lineRule="exact"/>
              <w:jc w:val="center"/>
              <w:rPr>
                <w:rFonts w:ascii="Times New Roman" w:hAnsi="Times New Roman" w:eastAsia="宋体"/>
                <w:color w:val="000000"/>
                <w:sz w:val="21"/>
                <w:szCs w:val="21"/>
              </w:rPr>
            </w:pPr>
          </w:p>
        </w:tc>
        <w:tc>
          <w:tcPr>
            <w:tcW w:w="659" w:type="dxa"/>
            <w:gridSpan w:val="2"/>
            <w:vMerge w:val="continue"/>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p>
        </w:tc>
        <w:tc>
          <w:tcPr>
            <w:tcW w:w="1532" w:type="dxa"/>
            <w:gridSpan w:val="3"/>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（2）其他资金</w:t>
            </w:r>
          </w:p>
        </w:tc>
        <w:tc>
          <w:tcPr>
            <w:tcW w:w="1380" w:type="dxa"/>
            <w:noWrap w:val="0"/>
            <w:tcMar>
              <w:top w:w="15" w:type="dxa"/>
              <w:left w:w="15" w:type="dxa"/>
              <w:bottom w:w="0" w:type="dxa"/>
              <w:right w:w="15" w:type="dxa"/>
            </w:tcMar>
            <w:vAlign w:val="center"/>
          </w:tcPr>
          <w:p>
            <w:pPr>
              <w:spacing w:line="250" w:lineRule="exact"/>
              <w:jc w:val="center"/>
              <w:rPr>
                <w:rFonts w:hint="eastAsia"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0</w:t>
            </w:r>
          </w:p>
        </w:tc>
        <w:tc>
          <w:tcPr>
            <w:tcW w:w="2671" w:type="dxa"/>
            <w:noWrap w:val="0"/>
            <w:tcMar>
              <w:top w:w="15" w:type="dxa"/>
              <w:left w:w="15" w:type="dxa"/>
              <w:bottom w:w="0" w:type="dxa"/>
              <w:right w:w="15" w:type="dxa"/>
            </w:tcMar>
            <w:vAlign w:val="center"/>
          </w:tcPr>
          <w:p>
            <w:pPr>
              <w:spacing w:line="250" w:lineRule="exact"/>
              <w:jc w:val="center"/>
              <w:rPr>
                <w:rFonts w:hint="eastAsia"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0</w:t>
            </w:r>
          </w:p>
        </w:tc>
        <w:tc>
          <w:tcPr>
            <w:tcW w:w="1312" w:type="dxa"/>
            <w:noWrap w:val="0"/>
            <w:tcMar>
              <w:top w:w="15" w:type="dxa"/>
              <w:left w:w="15" w:type="dxa"/>
              <w:bottom w:w="0" w:type="dxa"/>
              <w:right w:w="15" w:type="dxa"/>
            </w:tcMar>
            <w:vAlign w:val="center"/>
          </w:tcPr>
          <w:p>
            <w:pPr>
              <w:spacing w:line="250" w:lineRule="exact"/>
              <w:jc w:val="center"/>
              <w:rPr>
                <w:rFonts w:hint="eastAsia"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509" w:type="dxa"/>
            <w:gridSpan w:val="3"/>
            <w:vMerge w:val="continue"/>
            <w:noWrap w:val="0"/>
            <w:vAlign w:val="center"/>
          </w:tcPr>
          <w:p>
            <w:pPr>
              <w:spacing w:line="250" w:lineRule="exact"/>
              <w:jc w:val="center"/>
              <w:rPr>
                <w:rFonts w:ascii="Times New Roman" w:hAnsi="Times New Roman" w:eastAsia="宋体"/>
                <w:color w:val="000000"/>
                <w:sz w:val="21"/>
                <w:szCs w:val="21"/>
              </w:rPr>
            </w:pPr>
          </w:p>
        </w:tc>
        <w:tc>
          <w:tcPr>
            <w:tcW w:w="659" w:type="dxa"/>
            <w:gridSpan w:val="2"/>
            <w:vMerge w:val="restart"/>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资</w:t>
            </w:r>
          </w:p>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金</w:t>
            </w:r>
          </w:p>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结</w:t>
            </w:r>
          </w:p>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构</w:t>
            </w:r>
          </w:p>
          <w:p>
            <w:pPr>
              <w:spacing w:line="250" w:lineRule="exact"/>
              <w:jc w:val="center"/>
              <w:rPr>
                <w:rFonts w:ascii="Times New Roman" w:hAnsi="Times New Roman" w:eastAsia="宋体"/>
                <w:color w:val="000000"/>
                <w:sz w:val="21"/>
                <w:szCs w:val="21"/>
              </w:rPr>
            </w:pPr>
          </w:p>
        </w:tc>
        <w:tc>
          <w:tcPr>
            <w:tcW w:w="1532" w:type="dxa"/>
            <w:gridSpan w:val="3"/>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合计</w:t>
            </w:r>
          </w:p>
        </w:tc>
        <w:tc>
          <w:tcPr>
            <w:tcW w:w="1380" w:type="dxa"/>
            <w:noWrap w:val="0"/>
            <w:tcMar>
              <w:top w:w="15" w:type="dxa"/>
              <w:left w:w="15" w:type="dxa"/>
              <w:bottom w:w="0" w:type="dxa"/>
              <w:right w:w="15" w:type="dxa"/>
            </w:tcMar>
            <w:vAlign w:val="center"/>
          </w:tcPr>
          <w:p>
            <w:pPr>
              <w:spacing w:line="250" w:lineRule="exact"/>
              <w:jc w:val="center"/>
              <w:rPr>
                <w:rFonts w:hint="default" w:ascii="Times New Roman" w:hAnsi="Times New Roman" w:eastAsia="宋体"/>
                <w:color w:val="000000"/>
                <w:sz w:val="21"/>
                <w:szCs w:val="21"/>
                <w:lang w:val="en-US" w:eastAsia="zh-CN"/>
              </w:rPr>
            </w:pPr>
            <w:r>
              <w:rPr>
                <w:rFonts w:hint="eastAsia" w:ascii="Times New Roman" w:hAnsi="Times New Roman" w:eastAsia="宋体"/>
                <w:color w:val="000000"/>
                <w:sz w:val="21"/>
                <w:szCs w:val="21"/>
              </w:rPr>
              <w:t>24,081,207.29</w:t>
            </w:r>
          </w:p>
        </w:tc>
        <w:tc>
          <w:tcPr>
            <w:tcW w:w="2671" w:type="dxa"/>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24,081,207.29</w:t>
            </w:r>
          </w:p>
        </w:tc>
        <w:tc>
          <w:tcPr>
            <w:tcW w:w="1312" w:type="dxa"/>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hint="eastAsia" w:ascii="Times New Roman" w:hAnsi="Times New Roman" w:eastAsia="宋体"/>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509" w:type="dxa"/>
            <w:gridSpan w:val="3"/>
            <w:vMerge w:val="continue"/>
            <w:noWrap w:val="0"/>
            <w:vAlign w:val="center"/>
          </w:tcPr>
          <w:p>
            <w:pPr>
              <w:spacing w:line="250" w:lineRule="exact"/>
              <w:jc w:val="center"/>
              <w:rPr>
                <w:rFonts w:ascii="Times New Roman" w:hAnsi="Times New Roman" w:eastAsia="宋体"/>
                <w:color w:val="000000"/>
                <w:sz w:val="21"/>
                <w:szCs w:val="21"/>
              </w:rPr>
            </w:pPr>
          </w:p>
        </w:tc>
        <w:tc>
          <w:tcPr>
            <w:tcW w:w="659" w:type="dxa"/>
            <w:gridSpan w:val="2"/>
            <w:vMerge w:val="continue"/>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p>
        </w:tc>
        <w:tc>
          <w:tcPr>
            <w:tcW w:w="1532" w:type="dxa"/>
            <w:gridSpan w:val="3"/>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（1）基本支出</w:t>
            </w:r>
          </w:p>
        </w:tc>
        <w:tc>
          <w:tcPr>
            <w:tcW w:w="1380" w:type="dxa"/>
            <w:noWrap w:val="0"/>
            <w:tcMar>
              <w:top w:w="15" w:type="dxa"/>
              <w:left w:w="15" w:type="dxa"/>
              <w:bottom w:w="0" w:type="dxa"/>
              <w:right w:w="15" w:type="dxa"/>
            </w:tcMar>
            <w:vAlign w:val="center"/>
          </w:tcPr>
          <w:p>
            <w:pPr>
              <w:spacing w:line="250" w:lineRule="exact"/>
              <w:jc w:val="center"/>
              <w:rPr>
                <w:rFonts w:hint="default"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15,183,519.29</w:t>
            </w:r>
          </w:p>
        </w:tc>
        <w:tc>
          <w:tcPr>
            <w:tcW w:w="2671" w:type="dxa"/>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15,183,519.29</w:t>
            </w:r>
          </w:p>
        </w:tc>
        <w:tc>
          <w:tcPr>
            <w:tcW w:w="1312" w:type="dxa"/>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hint="eastAsia" w:ascii="Times New Roman" w:hAnsi="Times New Roman" w:eastAsia="宋体"/>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509" w:type="dxa"/>
            <w:gridSpan w:val="3"/>
            <w:vMerge w:val="continue"/>
            <w:noWrap w:val="0"/>
            <w:vAlign w:val="center"/>
          </w:tcPr>
          <w:p>
            <w:pPr>
              <w:spacing w:line="250" w:lineRule="exact"/>
              <w:jc w:val="center"/>
              <w:rPr>
                <w:rFonts w:ascii="Times New Roman" w:hAnsi="Times New Roman" w:eastAsia="宋体"/>
                <w:color w:val="000000"/>
                <w:sz w:val="21"/>
                <w:szCs w:val="21"/>
              </w:rPr>
            </w:pPr>
          </w:p>
        </w:tc>
        <w:tc>
          <w:tcPr>
            <w:tcW w:w="659" w:type="dxa"/>
            <w:gridSpan w:val="2"/>
            <w:vMerge w:val="continue"/>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p>
        </w:tc>
        <w:tc>
          <w:tcPr>
            <w:tcW w:w="1532" w:type="dxa"/>
            <w:gridSpan w:val="3"/>
            <w:noWrap w:val="0"/>
            <w:tcMar>
              <w:top w:w="15" w:type="dxa"/>
              <w:left w:w="15" w:type="dxa"/>
              <w:bottom w:w="0" w:type="dxa"/>
              <w:right w:w="15" w:type="dxa"/>
            </w:tcMar>
            <w:vAlign w:val="center"/>
          </w:tcPr>
          <w:p>
            <w:pPr>
              <w:tabs>
                <w:tab w:val="left" w:pos="567"/>
              </w:tabs>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（2）项目支出</w:t>
            </w:r>
          </w:p>
        </w:tc>
        <w:tc>
          <w:tcPr>
            <w:tcW w:w="1380" w:type="dxa"/>
            <w:noWrap w:val="0"/>
            <w:tcMar>
              <w:top w:w="15" w:type="dxa"/>
              <w:left w:w="15" w:type="dxa"/>
              <w:bottom w:w="0" w:type="dxa"/>
              <w:right w:w="15" w:type="dxa"/>
            </w:tcMar>
            <w:vAlign w:val="center"/>
          </w:tcPr>
          <w:p>
            <w:pPr>
              <w:spacing w:line="250" w:lineRule="exact"/>
              <w:jc w:val="center"/>
              <w:rPr>
                <w:rFonts w:hint="default"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8,897,688.00</w:t>
            </w:r>
          </w:p>
        </w:tc>
        <w:tc>
          <w:tcPr>
            <w:tcW w:w="2671" w:type="dxa"/>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8,897,688.00</w:t>
            </w:r>
          </w:p>
        </w:tc>
        <w:tc>
          <w:tcPr>
            <w:tcW w:w="1312" w:type="dxa"/>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hint="eastAsia" w:ascii="Times New Roman" w:hAnsi="Times New Roman" w:eastAsia="宋体"/>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509" w:type="dxa"/>
            <w:gridSpan w:val="3"/>
            <w:vMerge w:val="restart"/>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年度总</w:t>
            </w:r>
          </w:p>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体目标</w:t>
            </w:r>
          </w:p>
        </w:tc>
        <w:tc>
          <w:tcPr>
            <w:tcW w:w="3571" w:type="dxa"/>
            <w:gridSpan w:val="6"/>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年初设定目标</w:t>
            </w:r>
          </w:p>
        </w:tc>
        <w:tc>
          <w:tcPr>
            <w:tcW w:w="3983" w:type="dxa"/>
            <w:gridSpan w:val="2"/>
            <w:noWrap w:val="0"/>
            <w:tcMar>
              <w:top w:w="15" w:type="dxa"/>
              <w:left w:w="15" w:type="dxa"/>
              <w:bottom w:w="0" w:type="dxa"/>
              <w:right w:w="15" w:type="dxa"/>
            </w:tcMar>
            <w:vAlign w:val="center"/>
          </w:tcPr>
          <w:p>
            <w:pPr>
              <w:spacing w:line="250" w:lineRule="exact"/>
              <w:jc w:val="center"/>
              <w:rPr>
                <w:rFonts w:ascii="Times New Roman" w:hAnsi="Times New Roman" w:eastAsia="宋体"/>
                <w:color w:val="000000"/>
                <w:sz w:val="21"/>
                <w:szCs w:val="21"/>
              </w:rPr>
            </w:pPr>
            <w:r>
              <w:rPr>
                <w:rFonts w:ascii="Times New Roman" w:hAnsi="Times New Roman" w:eastAsia="宋体"/>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509" w:type="dxa"/>
            <w:gridSpan w:val="3"/>
            <w:vMerge w:val="continue"/>
            <w:noWrap w:val="0"/>
            <w:vAlign w:val="center"/>
          </w:tcPr>
          <w:p>
            <w:pPr>
              <w:spacing w:line="250" w:lineRule="exact"/>
              <w:rPr>
                <w:rFonts w:ascii="Times New Roman" w:hAnsi="Times New Roman" w:eastAsia="宋体"/>
                <w:color w:val="000000"/>
                <w:sz w:val="18"/>
                <w:szCs w:val="18"/>
              </w:rPr>
            </w:pPr>
          </w:p>
        </w:tc>
        <w:tc>
          <w:tcPr>
            <w:tcW w:w="3571" w:type="dxa"/>
            <w:gridSpan w:val="6"/>
            <w:noWrap w:val="0"/>
            <w:tcMar>
              <w:top w:w="15" w:type="dxa"/>
              <w:left w:w="15" w:type="dxa"/>
              <w:bottom w:w="0" w:type="dxa"/>
              <w:right w:w="15" w:type="dxa"/>
            </w:tcMar>
            <w:vAlign w:val="center"/>
          </w:tcPr>
          <w:p>
            <w:pPr>
              <w:tabs>
                <w:tab w:val="left" w:pos="567"/>
              </w:tabs>
              <w:spacing w:line="250" w:lineRule="exact"/>
              <w:jc w:val="left"/>
              <w:rPr>
                <w:rFonts w:hint="eastAsia" w:ascii="Times New Roman" w:hAnsi="Times New Roman" w:eastAsia="宋体"/>
                <w:color w:val="000000"/>
                <w:sz w:val="21"/>
                <w:szCs w:val="21"/>
              </w:rPr>
            </w:pPr>
            <w:r>
              <w:rPr>
                <w:rFonts w:hint="eastAsia" w:ascii="Times New Roman" w:hAnsi="Times New Roman" w:eastAsia="宋体"/>
                <w:color w:val="000000"/>
                <w:sz w:val="21"/>
                <w:szCs w:val="21"/>
              </w:rPr>
              <w:t>目标</w:t>
            </w:r>
            <w:r>
              <w:rPr>
                <w:rFonts w:ascii="Times New Roman" w:hAnsi="Times New Roman" w:eastAsia="宋体"/>
                <w:color w:val="000000"/>
                <w:sz w:val="21"/>
                <w:szCs w:val="21"/>
              </w:rPr>
              <w:t>1</w:t>
            </w:r>
            <w:r>
              <w:rPr>
                <w:rFonts w:hint="eastAsia" w:ascii="Times New Roman" w:hAnsi="Times New Roman" w:eastAsia="宋体"/>
                <w:color w:val="000000"/>
                <w:sz w:val="21"/>
                <w:szCs w:val="21"/>
              </w:rPr>
              <w:t>：践行“两个维护”，切实强化政治监督</w:t>
            </w:r>
            <w:r>
              <w:rPr>
                <w:rFonts w:hint="eastAsia" w:ascii="Times New Roman" w:hAnsi="Times New Roman" w:eastAsia="宋体"/>
                <w:color w:val="000000"/>
                <w:sz w:val="21"/>
                <w:szCs w:val="21"/>
              </w:rPr>
              <w:br w:type="textWrapping"/>
            </w:r>
            <w:r>
              <w:rPr>
                <w:rFonts w:hint="eastAsia" w:ascii="Times New Roman" w:hAnsi="Times New Roman" w:eastAsia="宋体"/>
                <w:color w:val="000000"/>
                <w:sz w:val="21"/>
                <w:szCs w:val="21"/>
              </w:rPr>
              <w:t>目标</w:t>
            </w:r>
            <w:r>
              <w:rPr>
                <w:rFonts w:ascii="Times New Roman" w:hAnsi="Times New Roman" w:eastAsia="宋体"/>
                <w:color w:val="000000"/>
                <w:sz w:val="21"/>
                <w:szCs w:val="21"/>
              </w:rPr>
              <w:t>2</w:t>
            </w:r>
            <w:r>
              <w:rPr>
                <w:rFonts w:hint="eastAsia" w:ascii="Times New Roman" w:hAnsi="Times New Roman" w:eastAsia="宋体"/>
                <w:color w:val="000000"/>
                <w:sz w:val="21"/>
                <w:szCs w:val="21"/>
              </w:rPr>
              <w:t>：纠“四风”树新风，集中整治形式主义官僚主义</w:t>
            </w:r>
          </w:p>
          <w:p>
            <w:pPr>
              <w:tabs>
                <w:tab w:val="left" w:pos="567"/>
              </w:tabs>
              <w:spacing w:line="250" w:lineRule="exact"/>
              <w:jc w:val="left"/>
              <w:rPr>
                <w:rFonts w:ascii="Times New Roman" w:hAnsi="Times New Roman" w:eastAsia="宋体"/>
                <w:color w:val="000000"/>
                <w:sz w:val="18"/>
                <w:szCs w:val="18"/>
              </w:rPr>
            </w:pPr>
            <w:r>
              <w:rPr>
                <w:rFonts w:hint="eastAsia" w:ascii="Times New Roman" w:hAnsi="Times New Roman" w:eastAsia="宋体"/>
                <w:color w:val="000000"/>
                <w:sz w:val="21"/>
                <w:szCs w:val="21"/>
              </w:rPr>
              <w:t>目标</w:t>
            </w:r>
            <w:r>
              <w:rPr>
                <w:rFonts w:hint="eastAsia" w:ascii="Times New Roman" w:hAnsi="Times New Roman" w:eastAsia="宋体"/>
                <w:color w:val="000000"/>
                <w:sz w:val="21"/>
                <w:szCs w:val="21"/>
                <w:lang w:val="en-US" w:eastAsia="zh-CN"/>
              </w:rPr>
              <w:t>3：</w:t>
            </w:r>
            <w:r>
              <w:rPr>
                <w:rFonts w:hint="eastAsia" w:ascii="Times New Roman" w:hAnsi="Times New Roman" w:eastAsia="宋体"/>
                <w:color w:val="000000"/>
                <w:sz w:val="21"/>
                <w:szCs w:val="21"/>
              </w:rPr>
              <w:t>深化纪检监察体制改革，构建权威高效监督体系</w:t>
            </w:r>
            <w:r>
              <w:rPr>
                <w:rFonts w:ascii="Times New Roman" w:hAnsi="Times New Roman" w:eastAsia="宋体"/>
                <w:color w:val="000000"/>
                <w:sz w:val="18"/>
                <w:szCs w:val="18"/>
              </w:rPr>
              <w:t>　</w:t>
            </w:r>
          </w:p>
        </w:tc>
        <w:tc>
          <w:tcPr>
            <w:tcW w:w="3983" w:type="dxa"/>
            <w:gridSpan w:val="2"/>
            <w:noWrap w:val="0"/>
            <w:tcMar>
              <w:top w:w="15" w:type="dxa"/>
              <w:left w:w="15" w:type="dxa"/>
              <w:bottom w:w="0" w:type="dxa"/>
              <w:right w:w="15" w:type="dxa"/>
            </w:tcMar>
            <w:vAlign w:val="center"/>
          </w:tcPr>
          <w:p>
            <w:pPr>
              <w:tabs>
                <w:tab w:val="left" w:pos="567"/>
              </w:tabs>
              <w:spacing w:line="250" w:lineRule="exact"/>
              <w:jc w:val="left"/>
              <w:rPr>
                <w:rFonts w:hint="eastAsia" w:ascii="Times New Roman" w:hAnsi="Times New Roman" w:eastAsia="宋体"/>
                <w:color w:val="000000"/>
                <w:sz w:val="21"/>
                <w:szCs w:val="21"/>
              </w:rPr>
            </w:pPr>
            <w:r>
              <w:rPr>
                <w:rFonts w:hint="eastAsia" w:ascii="Times New Roman" w:hAnsi="Times New Roman" w:eastAsia="宋体"/>
                <w:color w:val="000000"/>
                <w:sz w:val="21"/>
                <w:szCs w:val="21"/>
              </w:rPr>
              <w:t>1：践行“两个维护”，切实强化政治监督</w:t>
            </w:r>
            <w:r>
              <w:rPr>
                <w:rFonts w:hint="eastAsia" w:ascii="Times New Roman" w:hAnsi="Times New Roman" w:eastAsia="宋体"/>
                <w:color w:val="000000"/>
                <w:sz w:val="21"/>
                <w:szCs w:val="21"/>
              </w:rPr>
              <w:br w:type="textWrapping"/>
            </w:r>
            <w:r>
              <w:rPr>
                <w:rFonts w:hint="eastAsia" w:ascii="Times New Roman" w:hAnsi="Times New Roman" w:eastAsia="宋体"/>
                <w:color w:val="000000"/>
                <w:sz w:val="21"/>
                <w:szCs w:val="21"/>
              </w:rPr>
              <w:t>2：纠“四风”树新风，集中整治</w:t>
            </w:r>
            <w:r>
              <w:rPr>
                <w:rFonts w:hint="eastAsia" w:ascii="Times New Roman" w:hAnsi="Times New Roman" w:eastAsia="宋体"/>
                <w:color w:val="000000"/>
                <w:sz w:val="21"/>
                <w:szCs w:val="21"/>
                <w:lang w:eastAsia="zh-CN"/>
              </w:rPr>
              <w:t>我区</w:t>
            </w:r>
            <w:r>
              <w:rPr>
                <w:rFonts w:hint="eastAsia" w:ascii="Times New Roman" w:hAnsi="Times New Roman" w:eastAsia="宋体"/>
                <w:color w:val="000000"/>
                <w:sz w:val="21"/>
                <w:szCs w:val="21"/>
              </w:rPr>
              <w:t>形式主义官僚主义</w:t>
            </w:r>
          </w:p>
          <w:p>
            <w:pPr>
              <w:tabs>
                <w:tab w:val="left" w:pos="567"/>
              </w:tabs>
              <w:spacing w:line="250" w:lineRule="exact"/>
              <w:jc w:val="left"/>
              <w:rPr>
                <w:rFonts w:hint="eastAsia" w:ascii="Times New Roman" w:hAnsi="Times New Roman" w:eastAsia="宋体"/>
                <w:color w:val="000000"/>
                <w:sz w:val="21"/>
                <w:szCs w:val="21"/>
              </w:rPr>
            </w:pPr>
            <w:r>
              <w:rPr>
                <w:rFonts w:hint="eastAsia" w:ascii="Times New Roman" w:hAnsi="Times New Roman" w:eastAsia="宋体"/>
                <w:color w:val="000000"/>
                <w:sz w:val="21"/>
                <w:szCs w:val="21"/>
                <w:lang w:val="en-US" w:eastAsia="zh-CN"/>
              </w:rPr>
              <w:t>3：</w:t>
            </w:r>
            <w:r>
              <w:rPr>
                <w:rFonts w:hint="eastAsia" w:ascii="Times New Roman" w:hAnsi="Times New Roman" w:eastAsia="宋体"/>
                <w:color w:val="000000"/>
                <w:sz w:val="21"/>
                <w:szCs w:val="21"/>
              </w:rPr>
              <w:t>深化纪检监察体制改革，构建</w:t>
            </w:r>
            <w:r>
              <w:rPr>
                <w:rFonts w:hint="eastAsia" w:ascii="Times New Roman" w:hAnsi="Times New Roman" w:eastAsia="宋体"/>
                <w:color w:val="000000"/>
                <w:sz w:val="21"/>
                <w:szCs w:val="21"/>
                <w:lang w:eastAsia="zh-CN"/>
              </w:rPr>
              <w:t>我区</w:t>
            </w:r>
            <w:r>
              <w:rPr>
                <w:rFonts w:hint="eastAsia" w:ascii="Times New Roman" w:hAnsi="Times New Roman" w:eastAsia="宋体"/>
                <w:color w:val="000000"/>
                <w:sz w:val="21"/>
                <w:szCs w:val="21"/>
              </w:rPr>
              <w:t>权威高效监督体系</w:t>
            </w:r>
          </w:p>
          <w:p>
            <w:pPr>
              <w:tabs>
                <w:tab w:val="left" w:pos="567"/>
              </w:tabs>
              <w:spacing w:line="250" w:lineRule="exact"/>
              <w:jc w:val="left"/>
              <w:rPr>
                <w:rFonts w:ascii="Times New Roman" w:hAnsi="Times New Roman" w:eastAsia="宋体"/>
                <w:color w:val="000000"/>
                <w:sz w:val="18"/>
                <w:szCs w:val="18"/>
              </w:rPr>
            </w:pPr>
            <w:r>
              <w:rPr>
                <w:rFonts w:hint="eastAsia" w:ascii="Times New Roman" w:hAnsi="Times New Roman" w:eastAsia="宋体"/>
                <w:color w:val="000000"/>
                <w:sz w:val="21"/>
                <w:szCs w:val="21"/>
                <w:lang w:val="en-US" w:eastAsia="zh-CN"/>
              </w:rPr>
              <w:t>4</w:t>
            </w:r>
            <w:r>
              <w:rPr>
                <w:rFonts w:hint="eastAsia" w:ascii="Times New Roman" w:hAnsi="Times New Roman" w:eastAsia="宋体"/>
                <w:color w:val="000000"/>
                <w:sz w:val="21"/>
                <w:szCs w:val="21"/>
              </w:rPr>
              <w:t>：始终做到政治过硬</w:t>
            </w:r>
            <w:r>
              <w:rPr>
                <w:rFonts w:hint="eastAsia" w:ascii="Times New Roman" w:hAnsi="Times New Roman" w:eastAsia="宋体"/>
                <w:color w:val="000000"/>
                <w:sz w:val="21"/>
                <w:szCs w:val="21"/>
                <w:lang w:eastAsia="zh-CN"/>
              </w:rPr>
              <w:t>，</w:t>
            </w:r>
            <w:r>
              <w:rPr>
                <w:rFonts w:hint="eastAsia" w:ascii="Times New Roman" w:hAnsi="Times New Roman" w:eastAsia="宋体"/>
                <w:color w:val="000000"/>
                <w:sz w:val="21"/>
                <w:szCs w:val="21"/>
              </w:rPr>
              <w:t>锻造忠诚干净担当的纪检监察铁军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9063" w:type="dxa"/>
            <w:gridSpan w:val="11"/>
            <w:noWrap w:val="0"/>
            <w:vAlign w:val="center"/>
          </w:tcPr>
          <w:p>
            <w:pPr>
              <w:spacing w:line="250" w:lineRule="exact"/>
              <w:jc w:val="center"/>
              <w:rPr>
                <w:rFonts w:ascii="Times New Roman" w:hAnsi="Times New Roman" w:eastAsia="宋体"/>
                <w:color w:val="000000"/>
                <w:sz w:val="18"/>
                <w:szCs w:val="18"/>
              </w:rPr>
            </w:pPr>
            <w:r>
              <w:rPr>
                <w:rFonts w:ascii="Times New Roman" w:hAnsi="Times New Roman" w:eastAsia="宋体"/>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67" w:hRule="atLeast"/>
          <w:tblHeader/>
          <w:jc w:val="center"/>
        </w:trPr>
        <w:tc>
          <w:tcPr>
            <w:tcW w:w="503" w:type="dxa"/>
            <w:noWrap w:val="0"/>
            <w:vAlign w:val="center"/>
          </w:tcPr>
          <w:p>
            <w:pPr>
              <w:spacing w:line="240" w:lineRule="auto"/>
              <w:jc w:val="center"/>
              <w:rPr>
                <w:rFonts w:ascii="Times New Roman" w:hAnsi="Times New Roman" w:eastAsia="宋体"/>
                <w:kern w:val="0"/>
                <w:sz w:val="18"/>
                <w:szCs w:val="18"/>
              </w:rPr>
            </w:pPr>
            <w:r>
              <w:rPr>
                <w:rFonts w:ascii="Times New Roman" w:hAnsi="Times New Roman" w:eastAsia="宋体"/>
                <w:kern w:val="0"/>
                <w:sz w:val="18"/>
                <w:szCs w:val="18"/>
              </w:rPr>
              <w:t>一级指标</w:t>
            </w:r>
          </w:p>
        </w:tc>
        <w:tc>
          <w:tcPr>
            <w:tcW w:w="503" w:type="dxa"/>
            <w:noWrap w:val="0"/>
            <w:vAlign w:val="center"/>
          </w:tcPr>
          <w:p>
            <w:pPr>
              <w:spacing w:line="240" w:lineRule="auto"/>
              <w:jc w:val="center"/>
              <w:rPr>
                <w:rFonts w:ascii="Times New Roman" w:hAnsi="Times New Roman" w:eastAsia="宋体"/>
                <w:kern w:val="0"/>
                <w:sz w:val="18"/>
                <w:szCs w:val="18"/>
              </w:rPr>
            </w:pPr>
            <w:r>
              <w:rPr>
                <w:rFonts w:ascii="Times New Roman" w:hAnsi="Times New Roman" w:eastAsia="宋体"/>
                <w:kern w:val="0"/>
                <w:sz w:val="18"/>
                <w:szCs w:val="18"/>
              </w:rPr>
              <w:t>分值</w:t>
            </w:r>
          </w:p>
        </w:tc>
        <w:tc>
          <w:tcPr>
            <w:tcW w:w="503" w:type="dxa"/>
            <w:noWrap w:val="0"/>
            <w:vAlign w:val="center"/>
          </w:tcPr>
          <w:p>
            <w:pPr>
              <w:spacing w:line="240" w:lineRule="auto"/>
              <w:jc w:val="center"/>
              <w:rPr>
                <w:rFonts w:ascii="Times New Roman" w:hAnsi="Times New Roman" w:eastAsia="宋体"/>
                <w:kern w:val="0"/>
                <w:sz w:val="18"/>
                <w:szCs w:val="18"/>
              </w:rPr>
            </w:pPr>
            <w:r>
              <w:rPr>
                <w:rFonts w:ascii="Times New Roman" w:hAnsi="Times New Roman" w:eastAsia="宋体"/>
                <w:kern w:val="0"/>
                <w:sz w:val="18"/>
                <w:szCs w:val="18"/>
              </w:rPr>
              <w:t>二级</w:t>
            </w:r>
          </w:p>
          <w:p>
            <w:pPr>
              <w:spacing w:line="240" w:lineRule="auto"/>
              <w:jc w:val="center"/>
              <w:rPr>
                <w:rFonts w:ascii="Times New Roman" w:hAnsi="Times New Roman" w:eastAsia="宋体"/>
                <w:kern w:val="0"/>
                <w:sz w:val="18"/>
                <w:szCs w:val="18"/>
              </w:rPr>
            </w:pPr>
            <w:r>
              <w:rPr>
                <w:rFonts w:ascii="Times New Roman" w:hAnsi="Times New Roman" w:eastAsia="宋体"/>
                <w:kern w:val="0"/>
                <w:sz w:val="18"/>
                <w:szCs w:val="18"/>
              </w:rPr>
              <w:t>指标</w:t>
            </w:r>
          </w:p>
        </w:tc>
        <w:tc>
          <w:tcPr>
            <w:tcW w:w="503" w:type="dxa"/>
            <w:noWrap w:val="0"/>
            <w:vAlign w:val="center"/>
          </w:tcPr>
          <w:p>
            <w:pPr>
              <w:spacing w:line="240" w:lineRule="auto"/>
              <w:jc w:val="center"/>
              <w:rPr>
                <w:rFonts w:ascii="Times New Roman" w:hAnsi="Times New Roman" w:eastAsia="宋体"/>
                <w:kern w:val="0"/>
                <w:sz w:val="18"/>
                <w:szCs w:val="18"/>
              </w:rPr>
            </w:pPr>
            <w:r>
              <w:rPr>
                <w:rFonts w:ascii="Times New Roman" w:hAnsi="Times New Roman" w:eastAsia="宋体"/>
                <w:kern w:val="0"/>
                <w:sz w:val="18"/>
                <w:szCs w:val="18"/>
              </w:rPr>
              <w:t>分值</w:t>
            </w:r>
          </w:p>
        </w:tc>
        <w:tc>
          <w:tcPr>
            <w:tcW w:w="563" w:type="dxa"/>
            <w:gridSpan w:val="2"/>
            <w:noWrap w:val="0"/>
            <w:vAlign w:val="center"/>
          </w:tcPr>
          <w:p>
            <w:pPr>
              <w:spacing w:line="240" w:lineRule="auto"/>
              <w:jc w:val="center"/>
              <w:rPr>
                <w:rFonts w:ascii="Times New Roman" w:hAnsi="Times New Roman" w:eastAsia="宋体"/>
                <w:kern w:val="0"/>
                <w:sz w:val="18"/>
                <w:szCs w:val="18"/>
              </w:rPr>
            </w:pPr>
            <w:r>
              <w:rPr>
                <w:rFonts w:ascii="Times New Roman" w:hAnsi="Times New Roman" w:eastAsia="宋体"/>
                <w:kern w:val="0"/>
                <w:sz w:val="18"/>
                <w:szCs w:val="18"/>
              </w:rPr>
              <w:t>三级</w:t>
            </w:r>
          </w:p>
          <w:p>
            <w:pPr>
              <w:spacing w:line="240" w:lineRule="auto"/>
              <w:jc w:val="center"/>
              <w:rPr>
                <w:rFonts w:ascii="Times New Roman" w:hAnsi="Times New Roman" w:eastAsia="宋体"/>
                <w:kern w:val="0"/>
                <w:sz w:val="18"/>
                <w:szCs w:val="18"/>
              </w:rPr>
            </w:pPr>
            <w:r>
              <w:rPr>
                <w:rFonts w:ascii="Times New Roman" w:hAnsi="Times New Roman" w:eastAsia="宋体"/>
                <w:kern w:val="0"/>
                <w:sz w:val="18"/>
                <w:szCs w:val="18"/>
              </w:rPr>
              <w:t>指标</w:t>
            </w:r>
          </w:p>
        </w:tc>
        <w:tc>
          <w:tcPr>
            <w:tcW w:w="525" w:type="dxa"/>
            <w:noWrap w:val="0"/>
            <w:vAlign w:val="center"/>
          </w:tcPr>
          <w:p>
            <w:pPr>
              <w:spacing w:line="240" w:lineRule="auto"/>
              <w:jc w:val="center"/>
              <w:rPr>
                <w:rFonts w:ascii="Times New Roman" w:hAnsi="Times New Roman" w:eastAsia="宋体"/>
                <w:kern w:val="0"/>
                <w:sz w:val="18"/>
                <w:szCs w:val="18"/>
              </w:rPr>
            </w:pPr>
            <w:r>
              <w:rPr>
                <w:rFonts w:ascii="Times New Roman" w:hAnsi="Times New Roman" w:eastAsia="宋体"/>
                <w:kern w:val="0"/>
                <w:sz w:val="18"/>
                <w:szCs w:val="18"/>
              </w:rPr>
              <w:t>分值</w:t>
            </w:r>
          </w:p>
        </w:tc>
        <w:tc>
          <w:tcPr>
            <w:tcW w:w="1980" w:type="dxa"/>
            <w:gridSpan w:val="2"/>
            <w:noWrap w:val="0"/>
            <w:vAlign w:val="center"/>
          </w:tcPr>
          <w:p>
            <w:pPr>
              <w:spacing w:line="240" w:lineRule="auto"/>
              <w:jc w:val="center"/>
              <w:rPr>
                <w:rFonts w:ascii="Times New Roman" w:hAnsi="Times New Roman" w:eastAsia="宋体"/>
                <w:kern w:val="0"/>
                <w:sz w:val="18"/>
                <w:szCs w:val="18"/>
              </w:rPr>
            </w:pPr>
            <w:r>
              <w:rPr>
                <w:rFonts w:ascii="Times New Roman" w:hAnsi="Times New Roman" w:eastAsia="宋体"/>
                <w:kern w:val="0"/>
                <w:sz w:val="18"/>
                <w:szCs w:val="18"/>
              </w:rPr>
              <w:t>评价标准</w:t>
            </w:r>
          </w:p>
        </w:tc>
        <w:tc>
          <w:tcPr>
            <w:tcW w:w="2671" w:type="dxa"/>
            <w:noWrap w:val="0"/>
            <w:vAlign w:val="center"/>
          </w:tcPr>
          <w:p>
            <w:pPr>
              <w:spacing w:line="240" w:lineRule="auto"/>
              <w:jc w:val="center"/>
              <w:rPr>
                <w:rFonts w:ascii="Times New Roman" w:hAnsi="Times New Roman" w:eastAsia="宋体"/>
                <w:kern w:val="0"/>
                <w:sz w:val="18"/>
                <w:szCs w:val="18"/>
              </w:rPr>
            </w:pPr>
            <w:r>
              <w:rPr>
                <w:rFonts w:ascii="Times New Roman" w:hAnsi="Times New Roman" w:eastAsia="宋体"/>
                <w:kern w:val="0"/>
                <w:sz w:val="18"/>
                <w:szCs w:val="18"/>
              </w:rPr>
              <w:t>指标说明</w:t>
            </w:r>
          </w:p>
        </w:tc>
        <w:tc>
          <w:tcPr>
            <w:tcW w:w="1312" w:type="dxa"/>
            <w:noWrap w:val="0"/>
            <w:vAlign w:val="center"/>
          </w:tcPr>
          <w:p>
            <w:pPr>
              <w:spacing w:line="240" w:lineRule="auto"/>
              <w:jc w:val="center"/>
              <w:rPr>
                <w:rFonts w:ascii="Times New Roman" w:hAnsi="Times New Roman" w:eastAsia="宋体"/>
                <w:kern w:val="0"/>
                <w:sz w:val="18"/>
                <w:szCs w:val="18"/>
              </w:rPr>
            </w:pPr>
            <w:r>
              <w:rPr>
                <w:rFonts w:ascii="Times New Roman" w:hAnsi="Times New Roman" w:eastAsia="宋体"/>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03" w:type="dxa"/>
            <w:vMerge w:val="restart"/>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投入</w:t>
            </w:r>
          </w:p>
        </w:tc>
        <w:tc>
          <w:tcPr>
            <w:tcW w:w="503" w:type="dxa"/>
            <w:vMerge w:val="restart"/>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10</w:t>
            </w:r>
          </w:p>
        </w:tc>
        <w:tc>
          <w:tcPr>
            <w:tcW w:w="503" w:type="dxa"/>
            <w:vMerge w:val="restart"/>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预算配置</w:t>
            </w:r>
          </w:p>
        </w:tc>
        <w:tc>
          <w:tcPr>
            <w:tcW w:w="503" w:type="dxa"/>
            <w:vMerge w:val="restart"/>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10</w:t>
            </w:r>
          </w:p>
        </w:tc>
        <w:tc>
          <w:tcPr>
            <w:tcW w:w="563" w:type="dxa"/>
            <w:gridSpan w:val="2"/>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在职人员控制率</w:t>
            </w:r>
          </w:p>
        </w:tc>
        <w:tc>
          <w:tcPr>
            <w:tcW w:w="525" w:type="dxa"/>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5</w:t>
            </w:r>
          </w:p>
        </w:tc>
        <w:tc>
          <w:tcPr>
            <w:tcW w:w="1980" w:type="dxa"/>
            <w:gridSpan w:val="2"/>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以100%为标准。在职人员控制率≦100%，计5分；每超过一个百分点扣0.5分，扣完为止。</w:t>
            </w:r>
          </w:p>
        </w:tc>
        <w:tc>
          <w:tcPr>
            <w:tcW w:w="2671" w:type="dxa"/>
            <w:noWrap w:val="0"/>
            <w:vAlign w:val="center"/>
          </w:tcPr>
          <w:p>
            <w:pPr>
              <w:spacing w:line="240" w:lineRule="exact"/>
              <w:jc w:val="left"/>
              <w:rPr>
                <w:rFonts w:ascii="Times New Roman" w:hAnsi="Times New Roman" w:eastAsia="宋体"/>
                <w:kern w:val="0"/>
                <w:sz w:val="18"/>
                <w:szCs w:val="18"/>
              </w:rPr>
            </w:pPr>
            <w:r>
              <w:rPr>
                <w:rFonts w:ascii="Times New Roman" w:hAnsi="Times New Roman" w:eastAsia="宋体"/>
                <w:kern w:val="0"/>
                <w:sz w:val="18"/>
                <w:szCs w:val="18"/>
              </w:rPr>
              <w:t>在职人员控制率=（在职人员数/编制数）×100%，在职人员数：部门（单位）实际在职人数，以财政厅确定的部门决算编制口径为准。</w:t>
            </w:r>
            <w:r>
              <w:rPr>
                <w:rFonts w:ascii="Times New Roman" w:hAnsi="Times New Roman" w:eastAsia="宋体"/>
                <w:kern w:val="0"/>
                <w:sz w:val="18"/>
                <w:szCs w:val="18"/>
              </w:rPr>
              <w:br w:type="textWrapping"/>
            </w:r>
            <w:r>
              <w:rPr>
                <w:rFonts w:ascii="Times New Roman" w:hAnsi="Times New Roman" w:eastAsia="宋体"/>
                <w:kern w:val="0"/>
                <w:sz w:val="18"/>
                <w:szCs w:val="18"/>
              </w:rPr>
              <w:t>编制数：机构编制部门核定批复的部门（单位）的人员编制数。</w:t>
            </w:r>
          </w:p>
        </w:tc>
        <w:tc>
          <w:tcPr>
            <w:tcW w:w="1312" w:type="dxa"/>
            <w:noWrap w:val="0"/>
            <w:vAlign w:val="center"/>
          </w:tcPr>
          <w:p>
            <w:pPr>
              <w:spacing w:line="240" w:lineRule="exact"/>
              <w:jc w:val="center"/>
              <w:rPr>
                <w:rFonts w:hint="eastAsia" w:ascii="Times New Roman" w:hAnsi="Times New Roman" w:eastAsia="宋体"/>
                <w:color w:val="000000"/>
                <w:kern w:val="0"/>
                <w:sz w:val="18"/>
                <w:szCs w:val="18"/>
                <w:lang w:val="en-US" w:eastAsia="zh-CN"/>
              </w:rPr>
            </w:pPr>
            <w:r>
              <w:rPr>
                <w:rFonts w:hint="eastAsia" w:ascii="Times New Roman" w:hAnsi="Times New Roman" w:eastAsia="宋体"/>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63" w:type="dxa"/>
            <w:gridSpan w:val="2"/>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“三公经费”变动率</w:t>
            </w:r>
          </w:p>
        </w:tc>
        <w:tc>
          <w:tcPr>
            <w:tcW w:w="525" w:type="dxa"/>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5</w:t>
            </w:r>
          </w:p>
        </w:tc>
        <w:tc>
          <w:tcPr>
            <w:tcW w:w="1980" w:type="dxa"/>
            <w:gridSpan w:val="2"/>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“三公经费”变动率≦0,计5分；“三公经费”＞0，每超过一个百分点扣0.8分，扣完为止。</w:t>
            </w:r>
          </w:p>
        </w:tc>
        <w:tc>
          <w:tcPr>
            <w:tcW w:w="2671" w:type="dxa"/>
            <w:noWrap w:val="0"/>
            <w:vAlign w:val="center"/>
          </w:tcPr>
          <w:p>
            <w:pPr>
              <w:spacing w:line="240" w:lineRule="exact"/>
              <w:jc w:val="left"/>
              <w:rPr>
                <w:rFonts w:ascii="Times New Roman" w:hAnsi="Times New Roman" w:eastAsia="宋体"/>
                <w:kern w:val="0"/>
                <w:sz w:val="18"/>
                <w:szCs w:val="18"/>
              </w:rPr>
            </w:pPr>
            <w:r>
              <w:rPr>
                <w:rFonts w:ascii="Times New Roman" w:hAnsi="Times New Roman" w:eastAsia="宋体"/>
                <w:kern w:val="0"/>
                <w:sz w:val="18"/>
                <w:szCs w:val="18"/>
              </w:rPr>
              <w:t>“三公经费”变动率=[（本年度“三公经费”预算数-上年度“三公经费”预算数）/上年度“三公经费”预算数]×100%</w:t>
            </w:r>
          </w:p>
        </w:tc>
        <w:tc>
          <w:tcPr>
            <w:tcW w:w="1312" w:type="dxa"/>
            <w:noWrap w:val="0"/>
            <w:vAlign w:val="center"/>
          </w:tcPr>
          <w:p>
            <w:pPr>
              <w:spacing w:line="240" w:lineRule="exact"/>
              <w:jc w:val="center"/>
              <w:rPr>
                <w:rFonts w:hint="default" w:ascii="Times New Roman" w:hAnsi="Times New Roman" w:eastAsia="宋体"/>
                <w:color w:val="000000"/>
                <w:kern w:val="0"/>
                <w:sz w:val="18"/>
                <w:szCs w:val="18"/>
                <w:lang w:val="en-US" w:eastAsia="zh-CN"/>
              </w:rPr>
            </w:pPr>
            <w:r>
              <w:rPr>
                <w:rFonts w:hint="eastAsia" w:ascii="Times New Roman" w:hAnsi="Times New Roman" w:eastAsia="宋体"/>
                <w:color w:val="000000"/>
                <w:kern w:val="0"/>
                <w:sz w:val="18"/>
                <w:szCs w:val="18"/>
                <w:lang w:val="en-US" w:eastAsia="zh-CN"/>
              </w:rPr>
              <w:t>4.2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过</w:t>
            </w:r>
          </w:p>
          <w:p>
            <w:pPr>
              <w:spacing w:line="240" w:lineRule="exact"/>
              <w:jc w:val="center"/>
              <w:rPr>
                <w:rFonts w:ascii="Times New Roman" w:hAnsi="Times New Roman" w:eastAsia="宋体"/>
                <w:kern w:val="0"/>
                <w:sz w:val="18"/>
                <w:szCs w:val="18"/>
              </w:rPr>
            </w:pPr>
          </w:p>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程</w:t>
            </w:r>
          </w:p>
        </w:tc>
        <w:tc>
          <w:tcPr>
            <w:tcW w:w="503" w:type="dxa"/>
            <w:vMerge w:val="restart"/>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60</w:t>
            </w:r>
          </w:p>
        </w:tc>
        <w:tc>
          <w:tcPr>
            <w:tcW w:w="503" w:type="dxa"/>
            <w:vMerge w:val="restart"/>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预算执行</w:t>
            </w:r>
          </w:p>
        </w:tc>
        <w:tc>
          <w:tcPr>
            <w:tcW w:w="503" w:type="dxa"/>
            <w:vMerge w:val="restart"/>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20</w:t>
            </w:r>
          </w:p>
        </w:tc>
        <w:tc>
          <w:tcPr>
            <w:tcW w:w="563" w:type="dxa"/>
            <w:gridSpan w:val="2"/>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预算完成率</w:t>
            </w:r>
          </w:p>
        </w:tc>
        <w:tc>
          <w:tcPr>
            <w:tcW w:w="525" w:type="dxa"/>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5</w:t>
            </w:r>
          </w:p>
        </w:tc>
        <w:tc>
          <w:tcPr>
            <w:tcW w:w="1980" w:type="dxa"/>
            <w:gridSpan w:val="2"/>
            <w:noWrap w:val="0"/>
            <w:vAlign w:val="center"/>
          </w:tcPr>
          <w:p>
            <w:pPr>
              <w:spacing w:line="240" w:lineRule="exact"/>
              <w:jc w:val="left"/>
              <w:rPr>
                <w:rFonts w:ascii="Times New Roman" w:hAnsi="Times New Roman" w:eastAsia="宋体"/>
                <w:kern w:val="0"/>
                <w:sz w:val="18"/>
                <w:szCs w:val="18"/>
              </w:rPr>
            </w:pPr>
            <w:r>
              <w:rPr>
                <w:rFonts w:ascii="Times New Roman" w:hAnsi="Times New Roman" w:eastAsia="宋体"/>
                <w:kern w:val="0"/>
                <w:sz w:val="18"/>
                <w:szCs w:val="18"/>
              </w:rPr>
              <w:t>100%计满分，每低于5%扣2分，扣完为止。</w:t>
            </w:r>
          </w:p>
        </w:tc>
        <w:tc>
          <w:tcPr>
            <w:tcW w:w="2671" w:type="dxa"/>
            <w:noWrap w:val="0"/>
            <w:vAlign w:val="center"/>
          </w:tcPr>
          <w:p>
            <w:pPr>
              <w:spacing w:line="240" w:lineRule="exact"/>
              <w:jc w:val="left"/>
              <w:rPr>
                <w:rFonts w:ascii="Times New Roman" w:hAnsi="Times New Roman" w:eastAsia="宋体"/>
                <w:kern w:val="0"/>
                <w:sz w:val="18"/>
                <w:szCs w:val="18"/>
              </w:rPr>
            </w:pPr>
            <w:r>
              <w:rPr>
                <w:rFonts w:ascii="Times New Roman" w:hAnsi="Times New Roman" w:eastAsia="宋体"/>
                <w:kern w:val="0"/>
                <w:sz w:val="18"/>
                <w:szCs w:val="18"/>
              </w:rPr>
              <w:t>预算完成率=（上年结转+年初预算+本年追加预算-年末结余）/（上年结转+年初预算+本年追加预算）×100%。</w:t>
            </w:r>
          </w:p>
        </w:tc>
        <w:tc>
          <w:tcPr>
            <w:tcW w:w="1312" w:type="dxa"/>
            <w:noWrap w:val="0"/>
            <w:vAlign w:val="center"/>
          </w:tcPr>
          <w:p>
            <w:pPr>
              <w:spacing w:line="240" w:lineRule="exact"/>
              <w:jc w:val="center"/>
              <w:rPr>
                <w:rFonts w:hint="eastAsia" w:ascii="Times New Roman" w:hAnsi="Times New Roman" w:eastAsia="宋体"/>
                <w:color w:val="000000"/>
                <w:kern w:val="0"/>
                <w:sz w:val="18"/>
                <w:szCs w:val="18"/>
                <w:lang w:val="en-US" w:eastAsia="zh-CN"/>
              </w:rPr>
            </w:pPr>
            <w:r>
              <w:rPr>
                <w:rFonts w:hint="eastAsia" w:ascii="Times New Roman" w:hAnsi="Times New Roman" w:eastAsia="宋体"/>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63" w:type="dxa"/>
            <w:gridSpan w:val="2"/>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预算控制率</w:t>
            </w:r>
          </w:p>
        </w:tc>
        <w:tc>
          <w:tcPr>
            <w:tcW w:w="525" w:type="dxa"/>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5</w:t>
            </w:r>
          </w:p>
        </w:tc>
        <w:tc>
          <w:tcPr>
            <w:tcW w:w="1980" w:type="dxa"/>
            <w:gridSpan w:val="2"/>
            <w:noWrap w:val="0"/>
            <w:vAlign w:val="center"/>
          </w:tcPr>
          <w:p>
            <w:pPr>
              <w:spacing w:line="240" w:lineRule="exact"/>
              <w:jc w:val="left"/>
              <w:rPr>
                <w:rFonts w:ascii="Times New Roman" w:hAnsi="Times New Roman" w:eastAsia="宋体"/>
                <w:kern w:val="0"/>
                <w:sz w:val="18"/>
                <w:szCs w:val="18"/>
              </w:rPr>
            </w:pPr>
            <w:r>
              <w:rPr>
                <w:rFonts w:ascii="Times New Roman" w:hAnsi="Times New Roman" w:eastAsia="宋体"/>
                <w:kern w:val="0"/>
                <w:sz w:val="18"/>
                <w:szCs w:val="18"/>
              </w:rPr>
              <w:t>预算控制率=0，计5分；0-10%（含），计4分；10-20%（含），计3分；20-30%（含），计2分；大于30%不得分。</w:t>
            </w:r>
          </w:p>
        </w:tc>
        <w:tc>
          <w:tcPr>
            <w:tcW w:w="2671" w:type="dxa"/>
            <w:noWrap w:val="0"/>
            <w:vAlign w:val="center"/>
          </w:tcPr>
          <w:p>
            <w:pPr>
              <w:spacing w:line="240" w:lineRule="exact"/>
              <w:jc w:val="left"/>
              <w:rPr>
                <w:rFonts w:ascii="Times New Roman" w:hAnsi="Times New Roman" w:eastAsia="宋体"/>
                <w:kern w:val="0"/>
                <w:sz w:val="18"/>
                <w:szCs w:val="18"/>
              </w:rPr>
            </w:pPr>
            <w:r>
              <w:rPr>
                <w:rFonts w:ascii="Times New Roman" w:hAnsi="Times New Roman" w:eastAsia="宋体"/>
                <w:kern w:val="0"/>
                <w:sz w:val="18"/>
                <w:szCs w:val="18"/>
              </w:rPr>
              <w:t>预算控制率=（本年追加预算/年初预算）×100%。</w:t>
            </w:r>
          </w:p>
        </w:tc>
        <w:tc>
          <w:tcPr>
            <w:tcW w:w="1312" w:type="dxa"/>
            <w:noWrap w:val="0"/>
            <w:vAlign w:val="center"/>
          </w:tcPr>
          <w:p>
            <w:pPr>
              <w:spacing w:line="240" w:lineRule="exact"/>
              <w:jc w:val="center"/>
              <w:rPr>
                <w:rFonts w:hint="eastAsia" w:ascii="Times New Roman" w:hAnsi="Times New Roman" w:eastAsia="宋体"/>
                <w:color w:val="000000"/>
                <w:kern w:val="0"/>
                <w:sz w:val="18"/>
                <w:szCs w:val="18"/>
                <w:lang w:val="en-US" w:eastAsia="zh-CN"/>
              </w:rPr>
            </w:pPr>
            <w:r>
              <w:rPr>
                <w:rFonts w:hint="eastAsia" w:ascii="Times New Roman" w:hAnsi="Times New Roman" w:eastAsia="宋体"/>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63" w:type="dxa"/>
            <w:gridSpan w:val="2"/>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新建楼堂馆所面积控制率</w:t>
            </w:r>
          </w:p>
        </w:tc>
        <w:tc>
          <w:tcPr>
            <w:tcW w:w="525" w:type="dxa"/>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5</w:t>
            </w:r>
          </w:p>
        </w:tc>
        <w:tc>
          <w:tcPr>
            <w:tcW w:w="1980" w:type="dxa"/>
            <w:gridSpan w:val="2"/>
            <w:noWrap w:val="0"/>
            <w:vAlign w:val="center"/>
          </w:tcPr>
          <w:p>
            <w:pPr>
              <w:spacing w:line="240" w:lineRule="exact"/>
              <w:jc w:val="left"/>
              <w:rPr>
                <w:rFonts w:ascii="Times New Roman" w:hAnsi="Times New Roman" w:eastAsia="宋体"/>
                <w:kern w:val="0"/>
                <w:sz w:val="18"/>
                <w:szCs w:val="18"/>
              </w:rPr>
            </w:pPr>
            <w:r>
              <w:rPr>
                <w:rFonts w:ascii="Times New Roman" w:hAnsi="Times New Roman" w:eastAsia="宋体"/>
                <w:kern w:val="0"/>
                <w:sz w:val="18"/>
                <w:szCs w:val="18"/>
              </w:rPr>
              <w:t>100%以下（含）计满分，每超出5%扣2分，扣完为止。没有楼堂馆所项目的部门按满分计算。</w:t>
            </w:r>
          </w:p>
        </w:tc>
        <w:tc>
          <w:tcPr>
            <w:tcW w:w="2671" w:type="dxa"/>
            <w:noWrap w:val="0"/>
            <w:vAlign w:val="center"/>
          </w:tcPr>
          <w:p>
            <w:pPr>
              <w:spacing w:line="240" w:lineRule="exact"/>
              <w:jc w:val="left"/>
              <w:rPr>
                <w:rFonts w:ascii="Times New Roman" w:hAnsi="Times New Roman" w:eastAsia="宋体"/>
                <w:kern w:val="0"/>
                <w:sz w:val="18"/>
                <w:szCs w:val="18"/>
              </w:rPr>
            </w:pPr>
            <w:r>
              <w:rPr>
                <w:rFonts w:ascii="Times New Roman" w:hAnsi="Times New Roman" w:eastAsia="宋体"/>
                <w:kern w:val="0"/>
                <w:sz w:val="18"/>
                <w:szCs w:val="18"/>
              </w:rPr>
              <w:t>楼堂馆所面积控制率=实际建设面积/批准建设面积×100% 。</w:t>
            </w:r>
            <w:r>
              <w:rPr>
                <w:rFonts w:ascii="Times New Roman" w:hAnsi="Times New Roman" w:eastAsia="宋体"/>
                <w:kern w:val="0"/>
                <w:sz w:val="18"/>
                <w:szCs w:val="18"/>
              </w:rPr>
              <w:br w:type="textWrapping"/>
            </w:r>
            <w:r>
              <w:rPr>
                <w:rFonts w:ascii="Times New Roman" w:hAnsi="Times New Roman" w:eastAsia="宋体"/>
                <w:kern w:val="0"/>
                <w:sz w:val="18"/>
                <w:szCs w:val="18"/>
              </w:rPr>
              <w:t>该指标以当年完工的新建楼堂馆所为评价内容。</w:t>
            </w:r>
          </w:p>
        </w:tc>
        <w:tc>
          <w:tcPr>
            <w:tcW w:w="1312" w:type="dxa"/>
            <w:noWrap w:val="0"/>
            <w:vAlign w:val="center"/>
          </w:tcPr>
          <w:p>
            <w:pPr>
              <w:spacing w:line="240" w:lineRule="exact"/>
              <w:jc w:val="center"/>
              <w:rPr>
                <w:rFonts w:hint="eastAsia" w:ascii="Times New Roman" w:hAnsi="Times New Roman" w:eastAsia="宋体"/>
                <w:color w:val="000000"/>
                <w:kern w:val="0"/>
                <w:sz w:val="18"/>
                <w:szCs w:val="18"/>
                <w:lang w:val="en-US" w:eastAsia="zh-CN"/>
              </w:rPr>
            </w:pPr>
            <w:r>
              <w:rPr>
                <w:rFonts w:hint="eastAsia" w:ascii="Times New Roman" w:hAnsi="Times New Roman" w:eastAsia="宋体"/>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63" w:type="dxa"/>
            <w:gridSpan w:val="2"/>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新建楼堂馆所投资概算控制率</w:t>
            </w:r>
          </w:p>
        </w:tc>
        <w:tc>
          <w:tcPr>
            <w:tcW w:w="525" w:type="dxa"/>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5</w:t>
            </w:r>
          </w:p>
        </w:tc>
        <w:tc>
          <w:tcPr>
            <w:tcW w:w="1980" w:type="dxa"/>
            <w:gridSpan w:val="2"/>
            <w:noWrap w:val="0"/>
            <w:vAlign w:val="center"/>
          </w:tcPr>
          <w:p>
            <w:pPr>
              <w:spacing w:line="240" w:lineRule="exact"/>
              <w:jc w:val="left"/>
              <w:rPr>
                <w:rFonts w:ascii="Times New Roman" w:hAnsi="Times New Roman" w:eastAsia="宋体"/>
                <w:kern w:val="0"/>
                <w:sz w:val="18"/>
                <w:szCs w:val="18"/>
              </w:rPr>
            </w:pPr>
            <w:r>
              <w:rPr>
                <w:rFonts w:ascii="Times New Roman" w:hAnsi="Times New Roman" w:eastAsia="宋体"/>
                <w:kern w:val="0"/>
                <w:sz w:val="18"/>
                <w:szCs w:val="18"/>
              </w:rPr>
              <w:t>100%以下（含）计满分，每超出5%扣2分，扣完为止。</w:t>
            </w:r>
          </w:p>
        </w:tc>
        <w:tc>
          <w:tcPr>
            <w:tcW w:w="2671" w:type="dxa"/>
            <w:noWrap w:val="0"/>
            <w:vAlign w:val="center"/>
          </w:tcPr>
          <w:p>
            <w:pPr>
              <w:spacing w:line="240" w:lineRule="exact"/>
              <w:jc w:val="left"/>
              <w:rPr>
                <w:rFonts w:ascii="Times New Roman" w:hAnsi="Times New Roman" w:eastAsia="宋体"/>
                <w:kern w:val="0"/>
                <w:sz w:val="18"/>
                <w:szCs w:val="18"/>
              </w:rPr>
            </w:pPr>
            <w:r>
              <w:rPr>
                <w:rFonts w:ascii="Times New Roman" w:hAnsi="Times New Roman" w:eastAsia="宋体"/>
                <w:kern w:val="0"/>
                <w:sz w:val="18"/>
                <w:szCs w:val="18"/>
              </w:rPr>
              <w:t>楼堂馆所投资预算控制率=实际投资金额/批准投资金额×100% 。</w:t>
            </w:r>
            <w:r>
              <w:rPr>
                <w:rFonts w:ascii="Times New Roman" w:hAnsi="Times New Roman" w:eastAsia="宋体"/>
                <w:kern w:val="0"/>
                <w:sz w:val="18"/>
                <w:szCs w:val="18"/>
              </w:rPr>
              <w:br w:type="textWrapping"/>
            </w:r>
            <w:r>
              <w:rPr>
                <w:rFonts w:ascii="Times New Roman" w:hAnsi="Times New Roman" w:eastAsia="宋体"/>
                <w:kern w:val="0"/>
                <w:sz w:val="18"/>
                <w:szCs w:val="18"/>
              </w:rPr>
              <w:t>该指标以当年完工的新建楼堂馆所为评价内容。</w:t>
            </w:r>
          </w:p>
        </w:tc>
        <w:tc>
          <w:tcPr>
            <w:tcW w:w="1312" w:type="dxa"/>
            <w:noWrap w:val="0"/>
            <w:vAlign w:val="center"/>
          </w:tcPr>
          <w:p>
            <w:pPr>
              <w:spacing w:line="240" w:lineRule="exact"/>
              <w:jc w:val="center"/>
              <w:rPr>
                <w:rFonts w:hint="eastAsia" w:ascii="Times New Roman" w:hAnsi="Times New Roman" w:eastAsia="宋体"/>
                <w:color w:val="000000"/>
                <w:kern w:val="0"/>
                <w:sz w:val="18"/>
                <w:szCs w:val="18"/>
                <w:lang w:val="en-US" w:eastAsia="zh-CN"/>
              </w:rPr>
            </w:pPr>
            <w:r>
              <w:rPr>
                <w:rFonts w:hint="eastAsia" w:ascii="Times New Roman" w:hAnsi="Times New Roman" w:eastAsia="宋体"/>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03" w:type="dxa"/>
            <w:vMerge w:val="restart"/>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预算管理</w:t>
            </w:r>
          </w:p>
        </w:tc>
        <w:tc>
          <w:tcPr>
            <w:tcW w:w="503" w:type="dxa"/>
            <w:vMerge w:val="restart"/>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40</w:t>
            </w:r>
          </w:p>
        </w:tc>
        <w:tc>
          <w:tcPr>
            <w:tcW w:w="563" w:type="dxa"/>
            <w:gridSpan w:val="2"/>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公用经费控制率</w:t>
            </w:r>
          </w:p>
        </w:tc>
        <w:tc>
          <w:tcPr>
            <w:tcW w:w="525" w:type="dxa"/>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8</w:t>
            </w:r>
          </w:p>
        </w:tc>
        <w:tc>
          <w:tcPr>
            <w:tcW w:w="1980" w:type="dxa"/>
            <w:gridSpan w:val="2"/>
            <w:noWrap w:val="0"/>
            <w:vAlign w:val="center"/>
          </w:tcPr>
          <w:p>
            <w:pPr>
              <w:spacing w:line="240" w:lineRule="exact"/>
              <w:jc w:val="left"/>
              <w:rPr>
                <w:rFonts w:ascii="Times New Roman" w:hAnsi="Times New Roman" w:eastAsia="宋体"/>
                <w:kern w:val="0"/>
                <w:sz w:val="18"/>
                <w:szCs w:val="18"/>
              </w:rPr>
            </w:pPr>
            <w:r>
              <w:rPr>
                <w:rFonts w:ascii="Times New Roman" w:hAnsi="Times New Roman" w:eastAsia="宋体"/>
                <w:kern w:val="0"/>
                <w:sz w:val="18"/>
                <w:szCs w:val="18"/>
              </w:rPr>
              <w:t>100%以下（含）计满分，每超出1%扣1分，扣完为止。</w:t>
            </w:r>
          </w:p>
        </w:tc>
        <w:tc>
          <w:tcPr>
            <w:tcW w:w="2671" w:type="dxa"/>
            <w:noWrap w:val="0"/>
            <w:vAlign w:val="center"/>
          </w:tcPr>
          <w:p>
            <w:pPr>
              <w:spacing w:line="240" w:lineRule="exact"/>
              <w:jc w:val="left"/>
              <w:rPr>
                <w:rFonts w:ascii="Times New Roman" w:hAnsi="Times New Roman" w:eastAsia="宋体"/>
                <w:kern w:val="0"/>
                <w:sz w:val="18"/>
                <w:szCs w:val="18"/>
              </w:rPr>
            </w:pPr>
            <w:r>
              <w:rPr>
                <w:rFonts w:ascii="Times New Roman" w:hAnsi="Times New Roman" w:eastAsia="宋体"/>
                <w:kern w:val="0"/>
                <w:sz w:val="18"/>
                <w:szCs w:val="18"/>
              </w:rPr>
              <w:t>公用经费控制率=（实际支出公用经费总额/预算安排公用经费总额）×100%。</w:t>
            </w:r>
            <w:r>
              <w:rPr>
                <w:rFonts w:ascii="Times New Roman" w:hAnsi="Times New Roman" w:eastAsia="宋体"/>
                <w:kern w:val="0"/>
                <w:sz w:val="18"/>
                <w:szCs w:val="18"/>
              </w:rPr>
              <w:br w:type="textWrapping"/>
            </w:r>
            <w:r>
              <w:rPr>
                <w:rFonts w:ascii="Times New Roman" w:hAnsi="Times New Roman" w:eastAsia="宋体"/>
                <w:kern w:val="0"/>
                <w:sz w:val="18"/>
                <w:szCs w:val="18"/>
              </w:rPr>
              <w:t>公用经费支出是指部门基本支出中的一般商品和服务支出。</w:t>
            </w:r>
          </w:p>
        </w:tc>
        <w:tc>
          <w:tcPr>
            <w:tcW w:w="1312" w:type="dxa"/>
            <w:noWrap w:val="0"/>
            <w:vAlign w:val="center"/>
          </w:tcPr>
          <w:p>
            <w:pPr>
              <w:spacing w:line="240" w:lineRule="exact"/>
              <w:jc w:val="center"/>
              <w:rPr>
                <w:rFonts w:hint="default" w:ascii="Times New Roman" w:hAnsi="Times New Roman" w:eastAsia="宋体"/>
                <w:color w:val="000000"/>
                <w:kern w:val="0"/>
                <w:sz w:val="18"/>
                <w:szCs w:val="18"/>
                <w:lang w:val="en-US" w:eastAsia="zh-CN"/>
              </w:rPr>
            </w:pPr>
            <w:r>
              <w:rPr>
                <w:rFonts w:hint="eastAsia" w:ascii="Times New Roman" w:hAnsi="Times New Roman" w:eastAsia="宋体"/>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63" w:type="dxa"/>
            <w:gridSpan w:val="2"/>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“三公经费”控制率</w:t>
            </w:r>
          </w:p>
        </w:tc>
        <w:tc>
          <w:tcPr>
            <w:tcW w:w="525" w:type="dxa"/>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7</w:t>
            </w:r>
          </w:p>
        </w:tc>
        <w:tc>
          <w:tcPr>
            <w:tcW w:w="1980" w:type="dxa"/>
            <w:gridSpan w:val="2"/>
            <w:noWrap w:val="0"/>
            <w:vAlign w:val="center"/>
          </w:tcPr>
          <w:p>
            <w:pPr>
              <w:spacing w:line="240" w:lineRule="exact"/>
              <w:jc w:val="left"/>
              <w:rPr>
                <w:rFonts w:ascii="Times New Roman" w:hAnsi="Times New Roman" w:eastAsia="宋体"/>
                <w:kern w:val="0"/>
                <w:sz w:val="18"/>
                <w:szCs w:val="18"/>
              </w:rPr>
            </w:pPr>
            <w:r>
              <w:rPr>
                <w:rFonts w:ascii="Times New Roman" w:hAnsi="Times New Roman" w:eastAsia="宋体"/>
                <w:kern w:val="0"/>
                <w:sz w:val="18"/>
                <w:szCs w:val="18"/>
              </w:rPr>
              <w:t>100%以下（含）计满分，每超出1%扣1分，扣完为止。</w:t>
            </w:r>
          </w:p>
        </w:tc>
        <w:tc>
          <w:tcPr>
            <w:tcW w:w="2671" w:type="dxa"/>
            <w:noWrap w:val="0"/>
            <w:vAlign w:val="center"/>
          </w:tcPr>
          <w:p>
            <w:pPr>
              <w:spacing w:line="240" w:lineRule="exact"/>
              <w:jc w:val="left"/>
              <w:rPr>
                <w:rFonts w:ascii="Times New Roman" w:hAnsi="Times New Roman" w:eastAsia="宋体"/>
                <w:kern w:val="0"/>
                <w:sz w:val="18"/>
                <w:szCs w:val="18"/>
              </w:rPr>
            </w:pPr>
            <w:r>
              <w:rPr>
                <w:rFonts w:ascii="Times New Roman" w:hAnsi="Times New Roman" w:eastAsia="宋体"/>
                <w:kern w:val="0"/>
                <w:sz w:val="18"/>
                <w:szCs w:val="18"/>
              </w:rPr>
              <w:t>“三公经费”控制率=（“三公经费”实际支出数/“三公经费”预算安排数）×100%。</w:t>
            </w:r>
          </w:p>
        </w:tc>
        <w:tc>
          <w:tcPr>
            <w:tcW w:w="1312" w:type="dxa"/>
            <w:noWrap w:val="0"/>
            <w:vAlign w:val="center"/>
          </w:tcPr>
          <w:p>
            <w:pPr>
              <w:spacing w:line="240" w:lineRule="exact"/>
              <w:jc w:val="center"/>
              <w:rPr>
                <w:rFonts w:hint="default" w:ascii="Times New Roman" w:hAnsi="Times New Roman" w:eastAsia="宋体"/>
                <w:color w:val="000000"/>
                <w:kern w:val="0"/>
                <w:sz w:val="18"/>
                <w:szCs w:val="18"/>
                <w:lang w:val="en-US" w:eastAsia="zh-CN"/>
              </w:rPr>
            </w:pPr>
            <w:r>
              <w:rPr>
                <w:rFonts w:hint="eastAsia" w:ascii="Times New Roman" w:hAnsi="Times New Roman" w:eastAsia="宋体"/>
                <w:color w:val="000000"/>
                <w:kern w:val="0"/>
                <w:sz w:val="18"/>
                <w:szCs w:val="18"/>
                <w:lang w:val="en-US" w:eastAsia="zh-CN"/>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03" w:type="dxa"/>
            <w:vMerge w:val="continue"/>
            <w:noWrap w:val="0"/>
            <w:vAlign w:val="center"/>
          </w:tcPr>
          <w:p>
            <w:pPr>
              <w:spacing w:line="240" w:lineRule="exact"/>
              <w:jc w:val="center"/>
              <w:rPr>
                <w:rFonts w:ascii="Times New Roman" w:hAnsi="Times New Roman" w:eastAsia="宋体"/>
                <w:kern w:val="0"/>
                <w:sz w:val="18"/>
                <w:szCs w:val="18"/>
              </w:rPr>
            </w:pPr>
          </w:p>
        </w:tc>
        <w:tc>
          <w:tcPr>
            <w:tcW w:w="563" w:type="dxa"/>
            <w:gridSpan w:val="2"/>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政府采购执行率</w:t>
            </w:r>
          </w:p>
        </w:tc>
        <w:tc>
          <w:tcPr>
            <w:tcW w:w="525" w:type="dxa"/>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6</w:t>
            </w:r>
          </w:p>
        </w:tc>
        <w:tc>
          <w:tcPr>
            <w:tcW w:w="1980" w:type="dxa"/>
            <w:gridSpan w:val="2"/>
            <w:noWrap w:val="0"/>
            <w:vAlign w:val="center"/>
          </w:tcPr>
          <w:p>
            <w:pPr>
              <w:spacing w:line="240" w:lineRule="exact"/>
              <w:jc w:val="left"/>
              <w:rPr>
                <w:rFonts w:ascii="Times New Roman" w:hAnsi="Times New Roman" w:eastAsia="宋体"/>
                <w:kern w:val="0"/>
                <w:sz w:val="18"/>
                <w:szCs w:val="18"/>
              </w:rPr>
            </w:pPr>
            <w:r>
              <w:rPr>
                <w:rFonts w:ascii="Times New Roman" w:hAnsi="Times New Roman" w:eastAsia="宋体"/>
                <w:kern w:val="0"/>
                <w:sz w:val="18"/>
                <w:szCs w:val="18"/>
              </w:rPr>
              <w:t>100%计满分，每超过（降低）5%扣2分。扣完为止。</w:t>
            </w:r>
          </w:p>
        </w:tc>
        <w:tc>
          <w:tcPr>
            <w:tcW w:w="2671" w:type="dxa"/>
            <w:noWrap w:val="0"/>
            <w:vAlign w:val="center"/>
          </w:tcPr>
          <w:p>
            <w:pPr>
              <w:spacing w:line="240" w:lineRule="exact"/>
              <w:jc w:val="left"/>
              <w:rPr>
                <w:rFonts w:ascii="Times New Roman" w:hAnsi="Times New Roman" w:eastAsia="宋体"/>
                <w:kern w:val="0"/>
                <w:sz w:val="18"/>
                <w:szCs w:val="18"/>
              </w:rPr>
            </w:pPr>
            <w:r>
              <w:rPr>
                <w:rFonts w:ascii="Times New Roman" w:hAnsi="Times New Roman" w:eastAsia="宋体"/>
                <w:kern w:val="0"/>
                <w:sz w:val="18"/>
                <w:szCs w:val="18"/>
              </w:rPr>
              <w:t>政府采购执行率=（实际政府采购金额/政府采购预算数）×100%</w:t>
            </w:r>
          </w:p>
        </w:tc>
        <w:tc>
          <w:tcPr>
            <w:tcW w:w="1312" w:type="dxa"/>
            <w:noWrap w:val="0"/>
            <w:vAlign w:val="center"/>
          </w:tcPr>
          <w:p>
            <w:pPr>
              <w:spacing w:line="240" w:lineRule="exact"/>
              <w:jc w:val="center"/>
              <w:rPr>
                <w:rFonts w:ascii="Times New Roman" w:hAnsi="Times New Roman" w:eastAsia="宋体"/>
                <w:color w:val="000000"/>
                <w:kern w:val="0"/>
                <w:sz w:val="18"/>
                <w:szCs w:val="18"/>
              </w:rPr>
            </w:pPr>
            <w:r>
              <w:rPr>
                <w:rFonts w:hint="eastAsia" w:ascii="Times New Roman" w:hAnsi="Times New Roman" w:eastAsia="宋体"/>
                <w:kern w:val="0"/>
                <w:sz w:val="18"/>
                <w:szCs w:val="18"/>
                <w:lang w:val="en-US" w:eastAsia="zh-CN"/>
              </w:rPr>
              <w:t>6</w:t>
            </w:r>
            <w:r>
              <w:rPr>
                <w:rFonts w:ascii="Times New Roman" w:hAnsi="Times New Roman" w:eastAsia="宋体"/>
                <w:kern w:val="0"/>
                <w:sz w:val="18"/>
                <w:szCs w:val="18"/>
                <w:shd w:val="clear" w:color="auto" w:fill="FFFFFF"/>
              </w:rPr>
              <w:fldChar w:fldCharType="begin">
                <w:fldData xml:space="preserve">QQAyADgAOAA0ADIANgBBAEUANwBDADYANABEADMARABCADQAQgA1ADEAQgAzAEIAQgBBAEIARAAy
ADcARQAzAA==
</w:fldData>
              </w:fldChar>
            </w:r>
            <w:r>
              <w:rPr>
                <w:rFonts w:ascii="Times New Roman" w:hAnsi="Times New Roman" w:eastAsia="宋体"/>
                <w:kern w:val="0"/>
                <w:sz w:val="18"/>
                <w:szCs w:val="18"/>
                <w:shd w:val="clear" w:color="auto" w:fill="FFFFFF"/>
              </w:rPr>
              <w:instrText xml:space="preserve">Addin PF9</w:instrText>
            </w:r>
            <w:r>
              <w:rPr>
                <w:rFonts w:ascii="Times New Roman" w:hAnsi="Times New Roman" w:eastAsia="宋体"/>
                <w:kern w:val="0"/>
                <w:sz w:val="18"/>
                <w:szCs w:val="18"/>
                <w:shd w:val="clear" w:color="auto" w:fill="FFFFFF"/>
              </w:rPr>
              <w:fldChar w:fldCharType="separate"/>
            </w:r>
            <w:r>
              <w:rPr>
                <w:rFonts w:ascii="Times New Roman" w:hAnsi="Times New Roman" w:eastAsia="宋体"/>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noWrap w:val="0"/>
            <w:vAlign w:val="center"/>
          </w:tcPr>
          <w:p>
            <w:pPr>
              <w:spacing w:line="280" w:lineRule="exact"/>
              <w:jc w:val="center"/>
              <w:rPr>
                <w:rFonts w:ascii="Times New Roman" w:hAnsi="Times New Roman" w:eastAsia="宋体"/>
                <w:kern w:val="0"/>
                <w:sz w:val="18"/>
                <w:szCs w:val="18"/>
              </w:rPr>
            </w:pPr>
          </w:p>
        </w:tc>
        <w:tc>
          <w:tcPr>
            <w:tcW w:w="503" w:type="dxa"/>
            <w:vMerge w:val="continue"/>
            <w:noWrap w:val="0"/>
            <w:vAlign w:val="center"/>
          </w:tcPr>
          <w:p>
            <w:pPr>
              <w:spacing w:line="280" w:lineRule="exact"/>
              <w:jc w:val="center"/>
              <w:rPr>
                <w:rFonts w:ascii="Times New Roman" w:hAnsi="Times New Roman" w:eastAsia="宋体"/>
                <w:kern w:val="0"/>
                <w:sz w:val="18"/>
                <w:szCs w:val="18"/>
              </w:rPr>
            </w:pPr>
          </w:p>
        </w:tc>
        <w:tc>
          <w:tcPr>
            <w:tcW w:w="503" w:type="dxa"/>
            <w:vMerge w:val="continue"/>
            <w:noWrap w:val="0"/>
            <w:vAlign w:val="center"/>
          </w:tcPr>
          <w:p>
            <w:pPr>
              <w:spacing w:line="280" w:lineRule="exact"/>
              <w:jc w:val="center"/>
              <w:rPr>
                <w:rFonts w:ascii="Times New Roman" w:hAnsi="Times New Roman" w:eastAsia="宋体"/>
                <w:kern w:val="0"/>
                <w:sz w:val="18"/>
                <w:szCs w:val="18"/>
              </w:rPr>
            </w:pPr>
          </w:p>
        </w:tc>
        <w:tc>
          <w:tcPr>
            <w:tcW w:w="503" w:type="dxa"/>
            <w:vMerge w:val="continue"/>
            <w:noWrap w:val="0"/>
            <w:vAlign w:val="center"/>
          </w:tcPr>
          <w:p>
            <w:pPr>
              <w:spacing w:line="280" w:lineRule="exact"/>
              <w:jc w:val="center"/>
              <w:rPr>
                <w:rFonts w:ascii="Times New Roman" w:hAnsi="Times New Roman" w:eastAsia="宋体"/>
                <w:kern w:val="0"/>
                <w:sz w:val="18"/>
                <w:szCs w:val="18"/>
              </w:rPr>
            </w:pPr>
          </w:p>
        </w:tc>
        <w:tc>
          <w:tcPr>
            <w:tcW w:w="563" w:type="dxa"/>
            <w:gridSpan w:val="2"/>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管理制度健全性</w:t>
            </w:r>
          </w:p>
        </w:tc>
        <w:tc>
          <w:tcPr>
            <w:tcW w:w="525" w:type="dxa"/>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8</w:t>
            </w:r>
          </w:p>
        </w:tc>
        <w:tc>
          <w:tcPr>
            <w:tcW w:w="1980" w:type="dxa"/>
            <w:gridSpan w:val="2"/>
            <w:noWrap w:val="0"/>
            <w:vAlign w:val="center"/>
          </w:tcPr>
          <w:p>
            <w:pPr>
              <w:spacing w:line="260" w:lineRule="exact"/>
              <w:jc w:val="left"/>
              <w:rPr>
                <w:rFonts w:ascii="Times New Roman" w:hAnsi="Times New Roman" w:eastAsia="宋体"/>
                <w:kern w:val="0"/>
                <w:sz w:val="18"/>
                <w:szCs w:val="18"/>
              </w:rPr>
            </w:pPr>
            <w:r>
              <w:rPr>
                <w:rFonts w:ascii="Times New Roman" w:hAnsi="Times New Roman" w:eastAsia="宋体"/>
                <w:kern w:val="0"/>
                <w:sz w:val="18"/>
                <w:szCs w:val="18"/>
              </w:rPr>
              <w:t>①有内部财务管理制度、会计核算制度等管理制度，2分；</w:t>
            </w:r>
            <w:r>
              <w:rPr>
                <w:rFonts w:ascii="Times New Roman" w:hAnsi="Times New Roman" w:eastAsia="宋体"/>
                <w:kern w:val="0"/>
                <w:sz w:val="18"/>
                <w:szCs w:val="18"/>
              </w:rPr>
              <w:br w:type="textWrapping"/>
            </w:r>
            <w:r>
              <w:rPr>
                <w:rFonts w:ascii="Times New Roman" w:hAnsi="Times New Roman" w:eastAsia="宋体"/>
                <w:kern w:val="0"/>
                <w:sz w:val="18"/>
                <w:szCs w:val="18"/>
              </w:rPr>
              <w:t>②有本部门厉行节约制度,2分；</w:t>
            </w:r>
            <w:r>
              <w:rPr>
                <w:rFonts w:ascii="Times New Roman" w:hAnsi="Times New Roman" w:eastAsia="宋体"/>
                <w:kern w:val="0"/>
                <w:sz w:val="18"/>
                <w:szCs w:val="18"/>
              </w:rPr>
              <w:br w:type="textWrapping"/>
            </w:r>
            <w:r>
              <w:rPr>
                <w:rFonts w:ascii="Times New Roman" w:hAnsi="Times New Roman" w:eastAsia="宋体"/>
                <w:kern w:val="0"/>
                <w:sz w:val="18"/>
                <w:szCs w:val="18"/>
              </w:rPr>
              <w:t>③相关管理制度合法、合规、完整，2分；④相关管理制度得到有效执行，2分。</w:t>
            </w:r>
          </w:p>
        </w:tc>
        <w:tc>
          <w:tcPr>
            <w:tcW w:w="2671" w:type="dxa"/>
            <w:noWrap w:val="0"/>
            <w:vAlign w:val="center"/>
          </w:tcPr>
          <w:p>
            <w:pPr>
              <w:spacing w:line="280" w:lineRule="exact"/>
              <w:jc w:val="center"/>
              <w:rPr>
                <w:rFonts w:ascii="Times New Roman" w:hAnsi="Times New Roman" w:eastAsia="宋体"/>
                <w:kern w:val="0"/>
                <w:sz w:val="18"/>
                <w:szCs w:val="18"/>
              </w:rPr>
            </w:pPr>
          </w:p>
        </w:tc>
        <w:tc>
          <w:tcPr>
            <w:tcW w:w="1312" w:type="dxa"/>
            <w:noWrap w:val="0"/>
            <w:vAlign w:val="center"/>
          </w:tcPr>
          <w:p>
            <w:pPr>
              <w:spacing w:line="280" w:lineRule="exact"/>
              <w:jc w:val="center"/>
              <w:rPr>
                <w:rFonts w:hint="eastAsia" w:ascii="Times New Roman" w:hAnsi="Times New Roman" w:eastAsia="宋体"/>
                <w:color w:val="000000"/>
                <w:kern w:val="0"/>
                <w:sz w:val="18"/>
                <w:szCs w:val="18"/>
                <w:lang w:val="en-US" w:eastAsia="zh-CN"/>
              </w:rPr>
            </w:pPr>
            <w:r>
              <w:rPr>
                <w:rFonts w:hint="eastAsia" w:ascii="Times New Roman" w:hAnsi="Times New Roman" w:eastAsia="宋体"/>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noWrap w:val="0"/>
            <w:vAlign w:val="center"/>
          </w:tcPr>
          <w:p>
            <w:pPr>
              <w:spacing w:line="240" w:lineRule="exact"/>
              <w:jc w:val="center"/>
              <w:rPr>
                <w:rFonts w:ascii="Times New Roman" w:hAnsi="Times New Roman" w:eastAsia="宋体"/>
                <w:kern w:val="0"/>
                <w:sz w:val="18"/>
                <w:szCs w:val="18"/>
              </w:rPr>
            </w:pPr>
            <w:r>
              <w:rPr>
                <w:rFonts w:ascii="Times New Roman" w:hAnsi="Times New Roman" w:eastAsia="宋体"/>
                <w:kern w:val="0"/>
                <w:sz w:val="18"/>
                <w:szCs w:val="18"/>
              </w:rPr>
              <w:t>过</w:t>
            </w:r>
          </w:p>
          <w:p>
            <w:pPr>
              <w:spacing w:line="240" w:lineRule="exact"/>
              <w:jc w:val="center"/>
              <w:rPr>
                <w:rFonts w:ascii="Times New Roman" w:hAnsi="Times New Roman" w:eastAsia="宋体"/>
                <w:kern w:val="0"/>
                <w:sz w:val="18"/>
                <w:szCs w:val="18"/>
              </w:rPr>
            </w:pPr>
          </w:p>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程</w:t>
            </w:r>
          </w:p>
        </w:tc>
        <w:tc>
          <w:tcPr>
            <w:tcW w:w="503" w:type="dxa"/>
            <w:vMerge w:val="restart"/>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60</w:t>
            </w:r>
          </w:p>
        </w:tc>
        <w:tc>
          <w:tcPr>
            <w:tcW w:w="503" w:type="dxa"/>
            <w:vMerge w:val="restart"/>
            <w:noWrap w:val="0"/>
            <w:vAlign w:val="center"/>
          </w:tcPr>
          <w:p>
            <w:pPr>
              <w:spacing w:line="280" w:lineRule="exact"/>
              <w:jc w:val="left"/>
              <w:rPr>
                <w:rFonts w:ascii="Times New Roman" w:hAnsi="Times New Roman" w:eastAsia="宋体"/>
                <w:kern w:val="0"/>
                <w:sz w:val="18"/>
                <w:szCs w:val="18"/>
              </w:rPr>
            </w:pPr>
            <w:r>
              <w:rPr>
                <w:rFonts w:ascii="Times New Roman" w:hAnsi="Times New Roman" w:eastAsia="宋体"/>
                <w:kern w:val="0"/>
                <w:sz w:val="18"/>
                <w:szCs w:val="18"/>
              </w:rPr>
              <w:t>预算管理</w:t>
            </w:r>
          </w:p>
        </w:tc>
        <w:tc>
          <w:tcPr>
            <w:tcW w:w="503" w:type="dxa"/>
            <w:vMerge w:val="restart"/>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40</w:t>
            </w:r>
          </w:p>
        </w:tc>
        <w:tc>
          <w:tcPr>
            <w:tcW w:w="563" w:type="dxa"/>
            <w:gridSpan w:val="2"/>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资金使用合规性</w:t>
            </w:r>
          </w:p>
        </w:tc>
        <w:tc>
          <w:tcPr>
            <w:tcW w:w="525" w:type="dxa"/>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6</w:t>
            </w:r>
          </w:p>
        </w:tc>
        <w:tc>
          <w:tcPr>
            <w:tcW w:w="1980" w:type="dxa"/>
            <w:gridSpan w:val="2"/>
            <w:noWrap w:val="0"/>
            <w:vAlign w:val="center"/>
          </w:tcPr>
          <w:p>
            <w:pPr>
              <w:spacing w:line="260" w:lineRule="exact"/>
              <w:jc w:val="left"/>
              <w:rPr>
                <w:rFonts w:ascii="Times New Roman" w:hAnsi="Times New Roman" w:eastAsia="宋体"/>
                <w:kern w:val="0"/>
                <w:sz w:val="18"/>
                <w:szCs w:val="18"/>
              </w:rPr>
            </w:pPr>
            <w:r>
              <w:rPr>
                <w:rFonts w:ascii="Times New Roman" w:hAnsi="Times New Roman" w:eastAsia="宋体"/>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ascii="Times New Roman" w:hAnsi="Times New Roman" w:eastAsia="宋体"/>
                <w:kern w:val="0"/>
                <w:sz w:val="18"/>
                <w:szCs w:val="18"/>
              </w:rPr>
              <w:br w:type="textWrapping"/>
            </w:r>
            <w:r>
              <w:rPr>
                <w:rFonts w:ascii="Times New Roman" w:hAnsi="Times New Roman" w:eastAsia="宋体"/>
                <w:kern w:val="0"/>
                <w:sz w:val="18"/>
                <w:szCs w:val="18"/>
              </w:rPr>
              <w:t>以上情况每出现一例不符合要求的扣1分，扣完为止。</w:t>
            </w:r>
          </w:p>
        </w:tc>
        <w:tc>
          <w:tcPr>
            <w:tcW w:w="2671" w:type="dxa"/>
            <w:noWrap w:val="0"/>
            <w:vAlign w:val="center"/>
          </w:tcPr>
          <w:p>
            <w:pPr>
              <w:spacing w:line="280" w:lineRule="exact"/>
              <w:jc w:val="left"/>
              <w:rPr>
                <w:rFonts w:ascii="Times New Roman" w:hAnsi="Times New Roman" w:eastAsia="宋体"/>
                <w:kern w:val="0"/>
                <w:sz w:val="18"/>
                <w:szCs w:val="18"/>
              </w:rPr>
            </w:pPr>
            <w:r>
              <w:rPr>
                <w:rFonts w:ascii="Times New Roman" w:hAnsi="Times New Roman" w:eastAsia="宋体"/>
                <w:kern w:val="0"/>
                <w:sz w:val="18"/>
                <w:szCs w:val="18"/>
              </w:rPr>
              <w:t>　</w:t>
            </w:r>
          </w:p>
        </w:tc>
        <w:tc>
          <w:tcPr>
            <w:tcW w:w="1312" w:type="dxa"/>
            <w:noWrap w:val="0"/>
            <w:vAlign w:val="center"/>
          </w:tcPr>
          <w:p>
            <w:pPr>
              <w:spacing w:line="280" w:lineRule="exact"/>
              <w:jc w:val="center"/>
              <w:rPr>
                <w:rFonts w:hint="eastAsia" w:ascii="Times New Roman" w:hAnsi="Times New Roman" w:eastAsia="宋体"/>
                <w:color w:val="000000"/>
                <w:kern w:val="0"/>
                <w:sz w:val="18"/>
                <w:szCs w:val="18"/>
                <w:lang w:val="en-US" w:eastAsia="zh-CN"/>
              </w:rPr>
            </w:pPr>
            <w:r>
              <w:rPr>
                <w:rFonts w:hint="eastAsia" w:ascii="Times New Roman" w:hAnsi="Times New Roman" w:eastAsia="宋体"/>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noWrap w:val="0"/>
            <w:vAlign w:val="center"/>
          </w:tcPr>
          <w:p>
            <w:pPr>
              <w:spacing w:line="280" w:lineRule="exact"/>
              <w:jc w:val="left"/>
              <w:rPr>
                <w:rFonts w:ascii="Times New Roman" w:hAnsi="Times New Roman" w:eastAsia="宋体"/>
                <w:kern w:val="0"/>
                <w:sz w:val="18"/>
                <w:szCs w:val="18"/>
              </w:rPr>
            </w:pPr>
          </w:p>
        </w:tc>
        <w:tc>
          <w:tcPr>
            <w:tcW w:w="503" w:type="dxa"/>
            <w:vMerge w:val="continue"/>
            <w:noWrap w:val="0"/>
            <w:vAlign w:val="center"/>
          </w:tcPr>
          <w:p>
            <w:pPr>
              <w:spacing w:line="280" w:lineRule="exact"/>
              <w:jc w:val="left"/>
              <w:rPr>
                <w:rFonts w:ascii="Times New Roman" w:hAnsi="Times New Roman" w:eastAsia="宋体"/>
                <w:kern w:val="0"/>
                <w:sz w:val="18"/>
                <w:szCs w:val="18"/>
              </w:rPr>
            </w:pPr>
          </w:p>
        </w:tc>
        <w:tc>
          <w:tcPr>
            <w:tcW w:w="503" w:type="dxa"/>
            <w:vMerge w:val="continue"/>
            <w:noWrap w:val="0"/>
            <w:vAlign w:val="center"/>
          </w:tcPr>
          <w:p>
            <w:pPr>
              <w:spacing w:line="280" w:lineRule="exact"/>
              <w:jc w:val="left"/>
              <w:rPr>
                <w:rFonts w:ascii="Times New Roman" w:hAnsi="Times New Roman" w:eastAsia="宋体"/>
                <w:kern w:val="0"/>
                <w:sz w:val="18"/>
                <w:szCs w:val="18"/>
              </w:rPr>
            </w:pPr>
          </w:p>
        </w:tc>
        <w:tc>
          <w:tcPr>
            <w:tcW w:w="503" w:type="dxa"/>
            <w:vMerge w:val="continue"/>
            <w:noWrap w:val="0"/>
            <w:vAlign w:val="center"/>
          </w:tcPr>
          <w:p>
            <w:pPr>
              <w:spacing w:line="280" w:lineRule="exact"/>
              <w:jc w:val="left"/>
              <w:rPr>
                <w:rFonts w:ascii="Times New Roman" w:hAnsi="Times New Roman" w:eastAsia="宋体"/>
                <w:kern w:val="0"/>
                <w:sz w:val="18"/>
                <w:szCs w:val="18"/>
              </w:rPr>
            </w:pPr>
          </w:p>
        </w:tc>
        <w:tc>
          <w:tcPr>
            <w:tcW w:w="563" w:type="dxa"/>
            <w:gridSpan w:val="2"/>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预决算信息公开性</w:t>
            </w:r>
          </w:p>
        </w:tc>
        <w:tc>
          <w:tcPr>
            <w:tcW w:w="525" w:type="dxa"/>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5</w:t>
            </w:r>
          </w:p>
        </w:tc>
        <w:tc>
          <w:tcPr>
            <w:tcW w:w="1980" w:type="dxa"/>
            <w:gridSpan w:val="2"/>
            <w:noWrap w:val="0"/>
            <w:vAlign w:val="center"/>
          </w:tcPr>
          <w:p>
            <w:pPr>
              <w:spacing w:line="260" w:lineRule="exact"/>
              <w:jc w:val="left"/>
              <w:rPr>
                <w:rFonts w:ascii="Times New Roman" w:hAnsi="Times New Roman" w:eastAsia="宋体"/>
                <w:kern w:val="0"/>
                <w:sz w:val="18"/>
                <w:szCs w:val="18"/>
              </w:rPr>
            </w:pPr>
            <w:r>
              <w:rPr>
                <w:rFonts w:ascii="Times New Roman" w:hAnsi="Times New Roman" w:eastAsia="宋体"/>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1" w:type="dxa"/>
            <w:noWrap w:val="0"/>
            <w:vAlign w:val="center"/>
          </w:tcPr>
          <w:p>
            <w:pPr>
              <w:spacing w:line="280" w:lineRule="exact"/>
              <w:jc w:val="left"/>
              <w:rPr>
                <w:rFonts w:ascii="Times New Roman" w:hAnsi="Times New Roman" w:eastAsia="宋体"/>
                <w:kern w:val="0"/>
                <w:sz w:val="18"/>
                <w:szCs w:val="18"/>
              </w:rPr>
            </w:pPr>
            <w:r>
              <w:rPr>
                <w:rFonts w:ascii="Times New Roman" w:hAnsi="Times New Roman" w:eastAsia="宋体"/>
                <w:kern w:val="0"/>
                <w:sz w:val="18"/>
                <w:szCs w:val="18"/>
              </w:rPr>
              <w:t>预决算信息是指与部门预算、执行、决算、监督、绩效等管理相关的信息。</w:t>
            </w:r>
          </w:p>
        </w:tc>
        <w:tc>
          <w:tcPr>
            <w:tcW w:w="1312" w:type="dxa"/>
            <w:noWrap w:val="0"/>
            <w:vAlign w:val="center"/>
          </w:tcPr>
          <w:p>
            <w:pPr>
              <w:spacing w:line="280" w:lineRule="exact"/>
              <w:jc w:val="center"/>
              <w:rPr>
                <w:rFonts w:hint="eastAsia" w:ascii="Times New Roman" w:hAnsi="Times New Roman" w:eastAsia="宋体"/>
                <w:color w:val="000000"/>
                <w:kern w:val="0"/>
                <w:sz w:val="18"/>
                <w:szCs w:val="18"/>
                <w:lang w:val="en-US" w:eastAsia="zh-CN"/>
              </w:rPr>
            </w:pPr>
            <w:r>
              <w:rPr>
                <w:rFonts w:hint="eastAsia" w:ascii="Times New Roman" w:hAnsi="Times New Roman" w:eastAsia="宋体"/>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产出及效率</w:t>
            </w:r>
          </w:p>
        </w:tc>
        <w:tc>
          <w:tcPr>
            <w:tcW w:w="503" w:type="dxa"/>
            <w:vMerge w:val="restart"/>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30</w:t>
            </w:r>
          </w:p>
        </w:tc>
        <w:tc>
          <w:tcPr>
            <w:tcW w:w="503" w:type="dxa"/>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职责履行</w:t>
            </w:r>
          </w:p>
        </w:tc>
        <w:tc>
          <w:tcPr>
            <w:tcW w:w="503" w:type="dxa"/>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8</w:t>
            </w:r>
          </w:p>
        </w:tc>
        <w:tc>
          <w:tcPr>
            <w:tcW w:w="563" w:type="dxa"/>
            <w:gridSpan w:val="2"/>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重点工作实际完成率</w:t>
            </w:r>
          </w:p>
        </w:tc>
        <w:tc>
          <w:tcPr>
            <w:tcW w:w="525" w:type="dxa"/>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8</w:t>
            </w:r>
          </w:p>
        </w:tc>
        <w:tc>
          <w:tcPr>
            <w:tcW w:w="1980" w:type="dxa"/>
            <w:gridSpan w:val="2"/>
            <w:noWrap w:val="0"/>
            <w:vAlign w:val="center"/>
          </w:tcPr>
          <w:p>
            <w:pPr>
              <w:spacing w:line="260" w:lineRule="exact"/>
              <w:jc w:val="left"/>
              <w:rPr>
                <w:rFonts w:ascii="Times New Roman" w:hAnsi="Times New Roman" w:eastAsia="宋体"/>
                <w:kern w:val="0"/>
                <w:sz w:val="18"/>
                <w:szCs w:val="18"/>
              </w:rPr>
            </w:pPr>
            <w:r>
              <w:rPr>
                <w:rFonts w:ascii="Times New Roman" w:hAnsi="Times New Roman" w:eastAsia="宋体"/>
                <w:kern w:val="0"/>
                <w:sz w:val="18"/>
                <w:szCs w:val="18"/>
              </w:rPr>
              <w:t>根据履职情况，结合绩效目标和项目性质，对重点工作计划完成、产出质量、产出时效和有关成本控制情况评价，实现70%以上得4分，70%以下不得分。</w:t>
            </w:r>
          </w:p>
        </w:tc>
        <w:tc>
          <w:tcPr>
            <w:tcW w:w="2671" w:type="dxa"/>
            <w:noWrap w:val="0"/>
            <w:vAlign w:val="center"/>
          </w:tcPr>
          <w:p>
            <w:pPr>
              <w:spacing w:line="280" w:lineRule="exact"/>
              <w:jc w:val="left"/>
              <w:rPr>
                <w:rFonts w:ascii="Times New Roman" w:hAnsi="Times New Roman" w:eastAsia="宋体"/>
                <w:kern w:val="0"/>
                <w:sz w:val="18"/>
                <w:szCs w:val="18"/>
              </w:rPr>
            </w:pPr>
            <w:r>
              <w:rPr>
                <w:rFonts w:ascii="Times New Roman" w:hAnsi="Times New Roman" w:eastAsia="宋体"/>
                <w:kern w:val="0"/>
                <w:sz w:val="18"/>
                <w:szCs w:val="18"/>
              </w:rPr>
              <w:t>　</w:t>
            </w:r>
          </w:p>
        </w:tc>
        <w:tc>
          <w:tcPr>
            <w:tcW w:w="1312" w:type="dxa"/>
            <w:noWrap w:val="0"/>
            <w:vAlign w:val="center"/>
          </w:tcPr>
          <w:p>
            <w:pPr>
              <w:spacing w:line="280" w:lineRule="exact"/>
              <w:jc w:val="center"/>
              <w:rPr>
                <w:rFonts w:hint="eastAsia" w:ascii="Times New Roman" w:hAnsi="Times New Roman" w:eastAsia="宋体"/>
                <w:color w:val="000000"/>
                <w:kern w:val="0"/>
                <w:sz w:val="18"/>
                <w:szCs w:val="18"/>
                <w:lang w:val="en-US" w:eastAsia="zh-CN"/>
              </w:rPr>
            </w:pPr>
            <w:r>
              <w:rPr>
                <w:rFonts w:hint="eastAsia" w:ascii="Times New Roman" w:hAnsi="Times New Roman" w:eastAsia="宋体"/>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noWrap w:val="0"/>
            <w:vAlign w:val="center"/>
          </w:tcPr>
          <w:p>
            <w:pPr>
              <w:spacing w:line="280" w:lineRule="exact"/>
              <w:jc w:val="left"/>
              <w:rPr>
                <w:rFonts w:ascii="Times New Roman" w:hAnsi="Times New Roman" w:eastAsia="宋体"/>
                <w:kern w:val="0"/>
                <w:sz w:val="18"/>
                <w:szCs w:val="18"/>
              </w:rPr>
            </w:pPr>
          </w:p>
        </w:tc>
        <w:tc>
          <w:tcPr>
            <w:tcW w:w="503" w:type="dxa"/>
            <w:vMerge w:val="continue"/>
            <w:noWrap w:val="0"/>
            <w:vAlign w:val="center"/>
          </w:tcPr>
          <w:p>
            <w:pPr>
              <w:spacing w:line="280" w:lineRule="exact"/>
              <w:jc w:val="left"/>
              <w:rPr>
                <w:rFonts w:ascii="Times New Roman" w:hAnsi="Times New Roman" w:eastAsia="宋体"/>
                <w:kern w:val="0"/>
                <w:sz w:val="18"/>
                <w:szCs w:val="18"/>
              </w:rPr>
            </w:pPr>
          </w:p>
        </w:tc>
        <w:tc>
          <w:tcPr>
            <w:tcW w:w="503" w:type="dxa"/>
            <w:vMerge w:val="restart"/>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履职 效益</w:t>
            </w:r>
          </w:p>
        </w:tc>
        <w:tc>
          <w:tcPr>
            <w:tcW w:w="503" w:type="dxa"/>
            <w:vMerge w:val="restart"/>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10</w:t>
            </w:r>
          </w:p>
        </w:tc>
        <w:tc>
          <w:tcPr>
            <w:tcW w:w="563" w:type="dxa"/>
            <w:gridSpan w:val="2"/>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经济</w:t>
            </w:r>
          </w:p>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效益</w:t>
            </w:r>
          </w:p>
        </w:tc>
        <w:tc>
          <w:tcPr>
            <w:tcW w:w="525" w:type="dxa"/>
            <w:vMerge w:val="restart"/>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10</w:t>
            </w:r>
          </w:p>
        </w:tc>
        <w:tc>
          <w:tcPr>
            <w:tcW w:w="1980" w:type="dxa"/>
            <w:gridSpan w:val="2"/>
            <w:vMerge w:val="restart"/>
            <w:noWrap w:val="0"/>
            <w:vAlign w:val="center"/>
          </w:tcPr>
          <w:p>
            <w:pPr>
              <w:spacing w:line="260" w:lineRule="exact"/>
              <w:jc w:val="left"/>
              <w:rPr>
                <w:rFonts w:ascii="Times New Roman" w:hAnsi="Times New Roman" w:eastAsia="宋体"/>
                <w:kern w:val="0"/>
                <w:sz w:val="18"/>
                <w:szCs w:val="18"/>
              </w:rPr>
            </w:pPr>
            <w:r>
              <w:rPr>
                <w:rFonts w:ascii="Times New Roman" w:hAnsi="Times New Roman" w:eastAsia="宋体"/>
                <w:kern w:val="0"/>
                <w:sz w:val="18"/>
                <w:szCs w:val="18"/>
              </w:rPr>
              <w:t>此两项指标为设置部门整体支出绩效评价指标时必须考虑的共性要素，可根据部门实际情况有选择的进行设置，并将其细化为相应的个性化指标。</w:t>
            </w:r>
          </w:p>
        </w:tc>
        <w:tc>
          <w:tcPr>
            <w:tcW w:w="2671" w:type="dxa"/>
            <w:vMerge w:val="restart"/>
            <w:noWrap w:val="0"/>
            <w:vAlign w:val="center"/>
          </w:tcPr>
          <w:p>
            <w:pPr>
              <w:spacing w:line="280" w:lineRule="exact"/>
              <w:jc w:val="left"/>
              <w:rPr>
                <w:rFonts w:ascii="Times New Roman" w:hAnsi="Times New Roman" w:eastAsia="宋体"/>
                <w:color w:val="000000"/>
                <w:kern w:val="0"/>
                <w:sz w:val="18"/>
                <w:szCs w:val="18"/>
              </w:rPr>
            </w:pPr>
          </w:p>
        </w:tc>
        <w:tc>
          <w:tcPr>
            <w:tcW w:w="1312" w:type="dxa"/>
            <w:vMerge w:val="restart"/>
            <w:noWrap w:val="0"/>
            <w:vAlign w:val="center"/>
          </w:tcPr>
          <w:p>
            <w:pPr>
              <w:spacing w:line="280" w:lineRule="exact"/>
              <w:jc w:val="center"/>
              <w:rPr>
                <w:rFonts w:hint="default" w:ascii="Times New Roman" w:hAnsi="Times New Roman" w:eastAsia="宋体"/>
                <w:color w:val="000000"/>
                <w:kern w:val="0"/>
                <w:sz w:val="18"/>
                <w:szCs w:val="18"/>
                <w:lang w:val="en-US" w:eastAsia="zh-CN"/>
              </w:rPr>
            </w:pPr>
            <w:r>
              <w:rPr>
                <w:rFonts w:hint="eastAsia" w:ascii="Times New Roman" w:hAnsi="Times New Roman" w:eastAsia="宋体"/>
                <w:color w:val="000000"/>
                <w:kern w:val="0"/>
                <w:sz w:val="18"/>
                <w:szCs w:val="18"/>
                <w:lang w:val="en-US" w:eastAsia="zh-CN"/>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noWrap w:val="0"/>
            <w:vAlign w:val="center"/>
          </w:tcPr>
          <w:p>
            <w:pPr>
              <w:spacing w:line="280" w:lineRule="exact"/>
              <w:jc w:val="left"/>
              <w:rPr>
                <w:rFonts w:ascii="Times New Roman" w:hAnsi="Times New Roman" w:eastAsia="宋体"/>
                <w:kern w:val="0"/>
                <w:sz w:val="18"/>
                <w:szCs w:val="18"/>
              </w:rPr>
            </w:pPr>
          </w:p>
        </w:tc>
        <w:tc>
          <w:tcPr>
            <w:tcW w:w="503" w:type="dxa"/>
            <w:vMerge w:val="continue"/>
            <w:noWrap w:val="0"/>
            <w:vAlign w:val="center"/>
          </w:tcPr>
          <w:p>
            <w:pPr>
              <w:spacing w:line="280" w:lineRule="exact"/>
              <w:jc w:val="left"/>
              <w:rPr>
                <w:rFonts w:ascii="Times New Roman" w:hAnsi="Times New Roman" w:eastAsia="宋体"/>
                <w:kern w:val="0"/>
                <w:sz w:val="18"/>
                <w:szCs w:val="18"/>
              </w:rPr>
            </w:pPr>
          </w:p>
        </w:tc>
        <w:tc>
          <w:tcPr>
            <w:tcW w:w="503" w:type="dxa"/>
            <w:vMerge w:val="continue"/>
            <w:noWrap w:val="0"/>
            <w:vAlign w:val="center"/>
          </w:tcPr>
          <w:p>
            <w:pPr>
              <w:spacing w:line="280" w:lineRule="exact"/>
              <w:jc w:val="left"/>
              <w:rPr>
                <w:rFonts w:ascii="Times New Roman" w:hAnsi="Times New Roman" w:eastAsia="宋体"/>
                <w:kern w:val="0"/>
                <w:sz w:val="18"/>
                <w:szCs w:val="18"/>
              </w:rPr>
            </w:pPr>
          </w:p>
        </w:tc>
        <w:tc>
          <w:tcPr>
            <w:tcW w:w="503" w:type="dxa"/>
            <w:vMerge w:val="continue"/>
            <w:noWrap w:val="0"/>
            <w:vAlign w:val="center"/>
          </w:tcPr>
          <w:p>
            <w:pPr>
              <w:spacing w:line="280" w:lineRule="exact"/>
              <w:jc w:val="left"/>
              <w:rPr>
                <w:rFonts w:ascii="Times New Roman" w:hAnsi="Times New Roman" w:eastAsia="宋体"/>
                <w:kern w:val="0"/>
                <w:sz w:val="18"/>
                <w:szCs w:val="18"/>
              </w:rPr>
            </w:pPr>
          </w:p>
        </w:tc>
        <w:tc>
          <w:tcPr>
            <w:tcW w:w="563" w:type="dxa"/>
            <w:gridSpan w:val="2"/>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社会</w:t>
            </w:r>
          </w:p>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效益</w:t>
            </w:r>
          </w:p>
        </w:tc>
        <w:tc>
          <w:tcPr>
            <w:tcW w:w="525" w:type="dxa"/>
            <w:vMerge w:val="continue"/>
            <w:noWrap w:val="0"/>
            <w:vAlign w:val="center"/>
          </w:tcPr>
          <w:p>
            <w:pPr>
              <w:spacing w:line="280" w:lineRule="exact"/>
              <w:jc w:val="left"/>
              <w:rPr>
                <w:rFonts w:ascii="Times New Roman" w:hAnsi="Times New Roman" w:eastAsia="宋体"/>
                <w:kern w:val="0"/>
                <w:sz w:val="18"/>
                <w:szCs w:val="18"/>
              </w:rPr>
            </w:pPr>
          </w:p>
        </w:tc>
        <w:tc>
          <w:tcPr>
            <w:tcW w:w="1980" w:type="dxa"/>
            <w:gridSpan w:val="2"/>
            <w:vMerge w:val="continue"/>
            <w:noWrap w:val="0"/>
            <w:vAlign w:val="center"/>
          </w:tcPr>
          <w:p>
            <w:pPr>
              <w:spacing w:line="260" w:lineRule="exact"/>
              <w:jc w:val="left"/>
              <w:rPr>
                <w:rFonts w:ascii="Times New Roman" w:hAnsi="Times New Roman" w:eastAsia="宋体"/>
                <w:kern w:val="0"/>
                <w:sz w:val="18"/>
                <w:szCs w:val="18"/>
              </w:rPr>
            </w:pPr>
          </w:p>
        </w:tc>
        <w:tc>
          <w:tcPr>
            <w:tcW w:w="2671" w:type="dxa"/>
            <w:vMerge w:val="continue"/>
            <w:noWrap w:val="0"/>
            <w:vAlign w:val="center"/>
          </w:tcPr>
          <w:p>
            <w:pPr>
              <w:spacing w:line="280" w:lineRule="exact"/>
              <w:jc w:val="left"/>
              <w:rPr>
                <w:rFonts w:ascii="Times New Roman" w:hAnsi="Times New Roman" w:eastAsia="宋体"/>
                <w:kern w:val="0"/>
                <w:sz w:val="18"/>
                <w:szCs w:val="18"/>
              </w:rPr>
            </w:pPr>
          </w:p>
        </w:tc>
        <w:tc>
          <w:tcPr>
            <w:tcW w:w="1312" w:type="dxa"/>
            <w:vMerge w:val="continue"/>
            <w:noWrap w:val="0"/>
            <w:vAlign w:val="center"/>
          </w:tcPr>
          <w:p>
            <w:pPr>
              <w:spacing w:line="280" w:lineRule="exact"/>
              <w:jc w:val="left"/>
              <w:rPr>
                <w:rFonts w:ascii="Times New Roman" w:hAnsi="Times New Roman" w:eastAsia="宋体"/>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noWrap w:val="0"/>
            <w:vAlign w:val="center"/>
          </w:tcPr>
          <w:p>
            <w:pPr>
              <w:spacing w:line="280" w:lineRule="exact"/>
              <w:jc w:val="left"/>
              <w:rPr>
                <w:rFonts w:ascii="Times New Roman" w:hAnsi="Times New Roman" w:eastAsia="宋体"/>
                <w:kern w:val="0"/>
                <w:sz w:val="18"/>
                <w:szCs w:val="18"/>
              </w:rPr>
            </w:pPr>
          </w:p>
        </w:tc>
        <w:tc>
          <w:tcPr>
            <w:tcW w:w="503" w:type="dxa"/>
            <w:vMerge w:val="continue"/>
            <w:noWrap w:val="0"/>
            <w:vAlign w:val="center"/>
          </w:tcPr>
          <w:p>
            <w:pPr>
              <w:spacing w:line="280" w:lineRule="exact"/>
              <w:jc w:val="left"/>
              <w:rPr>
                <w:rFonts w:ascii="Times New Roman" w:hAnsi="Times New Roman" w:eastAsia="宋体"/>
                <w:kern w:val="0"/>
                <w:sz w:val="18"/>
                <w:szCs w:val="18"/>
              </w:rPr>
            </w:pPr>
          </w:p>
        </w:tc>
        <w:tc>
          <w:tcPr>
            <w:tcW w:w="503" w:type="dxa"/>
            <w:vMerge w:val="continue"/>
            <w:noWrap w:val="0"/>
            <w:vAlign w:val="center"/>
          </w:tcPr>
          <w:p>
            <w:pPr>
              <w:spacing w:line="280" w:lineRule="exact"/>
              <w:jc w:val="left"/>
              <w:rPr>
                <w:rFonts w:ascii="Times New Roman" w:hAnsi="Times New Roman" w:eastAsia="宋体"/>
                <w:kern w:val="0"/>
                <w:sz w:val="18"/>
                <w:szCs w:val="18"/>
              </w:rPr>
            </w:pPr>
          </w:p>
        </w:tc>
        <w:tc>
          <w:tcPr>
            <w:tcW w:w="503" w:type="dxa"/>
            <w:vMerge w:val="restart"/>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12</w:t>
            </w:r>
          </w:p>
        </w:tc>
        <w:tc>
          <w:tcPr>
            <w:tcW w:w="563" w:type="dxa"/>
            <w:gridSpan w:val="2"/>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行政</w:t>
            </w:r>
          </w:p>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效能</w:t>
            </w:r>
          </w:p>
        </w:tc>
        <w:tc>
          <w:tcPr>
            <w:tcW w:w="525" w:type="dxa"/>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6</w:t>
            </w:r>
          </w:p>
        </w:tc>
        <w:tc>
          <w:tcPr>
            <w:tcW w:w="1980" w:type="dxa"/>
            <w:gridSpan w:val="2"/>
            <w:noWrap w:val="0"/>
            <w:vAlign w:val="center"/>
          </w:tcPr>
          <w:p>
            <w:pPr>
              <w:spacing w:line="260" w:lineRule="exact"/>
              <w:jc w:val="left"/>
              <w:rPr>
                <w:rFonts w:ascii="Times New Roman" w:hAnsi="Times New Roman" w:eastAsia="宋体"/>
                <w:kern w:val="0"/>
                <w:sz w:val="18"/>
                <w:szCs w:val="18"/>
              </w:rPr>
            </w:pPr>
            <w:r>
              <w:rPr>
                <w:rFonts w:ascii="Times New Roman" w:hAnsi="Times New Roman" w:eastAsia="宋体"/>
                <w:kern w:val="0"/>
                <w:sz w:val="18"/>
                <w:szCs w:val="18"/>
              </w:rPr>
              <w:t>促进部门改进文风会风，加强经费及资产管理，推动网上办事，提高行政效率，降低行政成本效果较好的计6分；一般3分；无效果或者效果不明显0分。</w:t>
            </w:r>
          </w:p>
        </w:tc>
        <w:tc>
          <w:tcPr>
            <w:tcW w:w="2671" w:type="dxa"/>
            <w:noWrap w:val="0"/>
            <w:vAlign w:val="center"/>
          </w:tcPr>
          <w:p>
            <w:pPr>
              <w:spacing w:line="280" w:lineRule="exact"/>
              <w:jc w:val="left"/>
              <w:rPr>
                <w:rFonts w:ascii="Times New Roman" w:hAnsi="Times New Roman" w:eastAsia="宋体"/>
                <w:kern w:val="0"/>
                <w:sz w:val="18"/>
                <w:szCs w:val="18"/>
              </w:rPr>
            </w:pPr>
            <w:r>
              <w:rPr>
                <w:rFonts w:ascii="Times New Roman" w:hAnsi="Times New Roman" w:eastAsia="宋体"/>
                <w:kern w:val="0"/>
                <w:sz w:val="18"/>
                <w:szCs w:val="18"/>
              </w:rPr>
              <w:t>根据部门自评材料评定。</w:t>
            </w:r>
          </w:p>
        </w:tc>
        <w:tc>
          <w:tcPr>
            <w:tcW w:w="1312" w:type="dxa"/>
            <w:noWrap w:val="0"/>
            <w:vAlign w:val="center"/>
          </w:tcPr>
          <w:p>
            <w:pPr>
              <w:spacing w:line="280" w:lineRule="exact"/>
              <w:jc w:val="center"/>
              <w:rPr>
                <w:rFonts w:hint="eastAsia" w:ascii="Times New Roman" w:hAnsi="Times New Roman" w:eastAsia="宋体"/>
                <w:color w:val="000000"/>
                <w:kern w:val="0"/>
                <w:sz w:val="18"/>
                <w:szCs w:val="18"/>
                <w:lang w:val="en-US" w:eastAsia="zh-CN"/>
              </w:rPr>
            </w:pPr>
            <w:r>
              <w:rPr>
                <w:rFonts w:hint="eastAsia" w:ascii="Times New Roman" w:hAnsi="Times New Roman" w:eastAsia="宋体"/>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noWrap w:val="0"/>
            <w:vAlign w:val="center"/>
          </w:tcPr>
          <w:p>
            <w:pPr>
              <w:spacing w:line="280" w:lineRule="exact"/>
              <w:jc w:val="left"/>
              <w:rPr>
                <w:rFonts w:ascii="Times New Roman" w:hAnsi="Times New Roman" w:eastAsia="宋体"/>
                <w:kern w:val="0"/>
                <w:sz w:val="18"/>
                <w:szCs w:val="18"/>
              </w:rPr>
            </w:pPr>
          </w:p>
        </w:tc>
        <w:tc>
          <w:tcPr>
            <w:tcW w:w="503" w:type="dxa"/>
            <w:vMerge w:val="continue"/>
            <w:noWrap w:val="0"/>
            <w:vAlign w:val="center"/>
          </w:tcPr>
          <w:p>
            <w:pPr>
              <w:spacing w:line="280" w:lineRule="exact"/>
              <w:jc w:val="left"/>
              <w:rPr>
                <w:rFonts w:ascii="Times New Roman" w:hAnsi="Times New Roman" w:eastAsia="宋体"/>
                <w:kern w:val="0"/>
                <w:sz w:val="18"/>
                <w:szCs w:val="18"/>
              </w:rPr>
            </w:pPr>
          </w:p>
        </w:tc>
        <w:tc>
          <w:tcPr>
            <w:tcW w:w="503" w:type="dxa"/>
            <w:vMerge w:val="continue"/>
            <w:noWrap w:val="0"/>
            <w:vAlign w:val="center"/>
          </w:tcPr>
          <w:p>
            <w:pPr>
              <w:spacing w:line="280" w:lineRule="exact"/>
              <w:jc w:val="left"/>
              <w:rPr>
                <w:rFonts w:ascii="Times New Roman" w:hAnsi="Times New Roman" w:eastAsia="宋体"/>
                <w:kern w:val="0"/>
                <w:sz w:val="18"/>
                <w:szCs w:val="18"/>
              </w:rPr>
            </w:pPr>
          </w:p>
        </w:tc>
        <w:tc>
          <w:tcPr>
            <w:tcW w:w="503" w:type="dxa"/>
            <w:vMerge w:val="continue"/>
            <w:noWrap w:val="0"/>
            <w:vAlign w:val="center"/>
          </w:tcPr>
          <w:p>
            <w:pPr>
              <w:spacing w:line="280" w:lineRule="exact"/>
              <w:jc w:val="left"/>
              <w:rPr>
                <w:rFonts w:ascii="Times New Roman" w:hAnsi="Times New Roman" w:eastAsia="宋体"/>
                <w:kern w:val="0"/>
                <w:sz w:val="18"/>
                <w:szCs w:val="18"/>
              </w:rPr>
            </w:pPr>
          </w:p>
        </w:tc>
        <w:tc>
          <w:tcPr>
            <w:tcW w:w="563" w:type="dxa"/>
            <w:gridSpan w:val="2"/>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社会公众或服务对象满意度</w:t>
            </w:r>
          </w:p>
        </w:tc>
        <w:tc>
          <w:tcPr>
            <w:tcW w:w="525" w:type="dxa"/>
            <w:noWrap w:val="0"/>
            <w:vAlign w:val="center"/>
          </w:tcPr>
          <w:p>
            <w:pPr>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6</w:t>
            </w:r>
          </w:p>
        </w:tc>
        <w:tc>
          <w:tcPr>
            <w:tcW w:w="1980" w:type="dxa"/>
            <w:gridSpan w:val="2"/>
            <w:noWrap w:val="0"/>
            <w:vAlign w:val="center"/>
          </w:tcPr>
          <w:p>
            <w:pPr>
              <w:spacing w:line="260" w:lineRule="exact"/>
              <w:jc w:val="left"/>
              <w:rPr>
                <w:rFonts w:ascii="Times New Roman" w:hAnsi="Times New Roman" w:eastAsia="宋体"/>
                <w:kern w:val="0"/>
                <w:sz w:val="18"/>
                <w:szCs w:val="18"/>
              </w:rPr>
            </w:pPr>
            <w:r>
              <w:rPr>
                <w:rFonts w:ascii="Times New Roman" w:hAnsi="Times New Roman" w:eastAsia="宋体"/>
                <w:kern w:val="0"/>
                <w:sz w:val="18"/>
                <w:szCs w:val="18"/>
              </w:rPr>
              <w:t>90%（含）以上计6分；</w:t>
            </w:r>
            <w:r>
              <w:rPr>
                <w:rFonts w:ascii="Times New Roman" w:hAnsi="Times New Roman" w:eastAsia="宋体"/>
                <w:kern w:val="0"/>
                <w:sz w:val="18"/>
                <w:szCs w:val="18"/>
              </w:rPr>
              <w:br w:type="textWrapping"/>
            </w:r>
            <w:r>
              <w:rPr>
                <w:rFonts w:ascii="Times New Roman" w:hAnsi="Times New Roman" w:eastAsia="宋体"/>
                <w:kern w:val="0"/>
                <w:sz w:val="18"/>
                <w:szCs w:val="18"/>
              </w:rPr>
              <w:t>80%（含）-90%，计4分；</w:t>
            </w:r>
            <w:r>
              <w:rPr>
                <w:rFonts w:ascii="Times New Roman" w:hAnsi="Times New Roman" w:eastAsia="宋体"/>
                <w:kern w:val="0"/>
                <w:sz w:val="18"/>
                <w:szCs w:val="18"/>
              </w:rPr>
              <w:br w:type="textWrapping"/>
            </w:r>
            <w:r>
              <w:rPr>
                <w:rFonts w:ascii="Times New Roman" w:hAnsi="Times New Roman" w:eastAsia="宋体"/>
                <w:kern w:val="0"/>
                <w:sz w:val="18"/>
                <w:szCs w:val="18"/>
              </w:rPr>
              <w:t>70%（含）-80%，计2分；</w:t>
            </w:r>
            <w:r>
              <w:rPr>
                <w:rFonts w:ascii="Times New Roman" w:hAnsi="Times New Roman" w:eastAsia="宋体"/>
                <w:kern w:val="0"/>
                <w:sz w:val="18"/>
                <w:szCs w:val="18"/>
              </w:rPr>
              <w:br w:type="textWrapping"/>
            </w:r>
            <w:r>
              <w:rPr>
                <w:rFonts w:ascii="Times New Roman" w:hAnsi="Times New Roman" w:eastAsia="宋体"/>
                <w:kern w:val="0"/>
                <w:sz w:val="18"/>
                <w:szCs w:val="18"/>
              </w:rPr>
              <w:t>低于70%计0分。</w:t>
            </w:r>
          </w:p>
        </w:tc>
        <w:tc>
          <w:tcPr>
            <w:tcW w:w="2671" w:type="dxa"/>
            <w:noWrap w:val="0"/>
            <w:vAlign w:val="center"/>
          </w:tcPr>
          <w:p>
            <w:pPr>
              <w:spacing w:line="280" w:lineRule="exact"/>
              <w:jc w:val="left"/>
              <w:rPr>
                <w:rFonts w:ascii="Times New Roman" w:hAnsi="Times New Roman" w:eastAsia="宋体"/>
                <w:kern w:val="0"/>
                <w:sz w:val="18"/>
                <w:szCs w:val="18"/>
              </w:rPr>
            </w:pPr>
            <w:r>
              <w:rPr>
                <w:rFonts w:ascii="Times New Roman" w:hAnsi="Times New Roman" w:eastAsia="宋体"/>
                <w:kern w:val="0"/>
                <w:sz w:val="18"/>
                <w:szCs w:val="18"/>
              </w:rPr>
              <w:t>社会公众或服务对象是指部门（单位）履行职责而影响到的部门、群体或个人，一般采取社会调查的方式。</w:t>
            </w:r>
          </w:p>
        </w:tc>
        <w:tc>
          <w:tcPr>
            <w:tcW w:w="1312" w:type="dxa"/>
            <w:noWrap w:val="0"/>
            <w:vAlign w:val="center"/>
          </w:tcPr>
          <w:p>
            <w:pPr>
              <w:spacing w:line="280" w:lineRule="exact"/>
              <w:jc w:val="center"/>
              <w:rPr>
                <w:rFonts w:ascii="Times New Roman" w:hAnsi="Times New Roman" w:eastAsia="宋体"/>
                <w:color w:val="000000"/>
                <w:kern w:val="0"/>
                <w:sz w:val="18"/>
                <w:szCs w:val="18"/>
              </w:rPr>
            </w:pPr>
            <w:r>
              <w:rPr>
                <w:rFonts w:hint="eastAsia" w:ascii="Times New Roman" w:hAnsi="Times New Roman" w:eastAsia="宋体"/>
                <w:kern w:val="0"/>
                <w:sz w:val="18"/>
                <w:szCs w:val="18"/>
                <w:lang w:val="en-US" w:eastAsia="zh-CN"/>
              </w:rPr>
              <w:t>6</w:t>
            </w:r>
            <w:r>
              <w:rPr>
                <w:rFonts w:ascii="Times New Roman" w:hAnsi="Times New Roman" w:eastAsia="宋体"/>
                <w:kern w:val="0"/>
                <w:sz w:val="18"/>
                <w:szCs w:val="18"/>
                <w:shd w:val="clear" w:color="auto" w:fill="FFFFFF"/>
              </w:rPr>
              <w:fldChar w:fldCharType="begin">
                <w:fldData xml:space="preserve">QgAzADUAMgBGADUAMgBDADkAMAAzADAANAA1ADMAOABCADAARgA0ADAANAA5AEEAOQA0AEUAMgA0
ADQARQAxAA==
</w:fldData>
              </w:fldChar>
            </w:r>
            <w:r>
              <w:rPr>
                <w:rFonts w:ascii="Times New Roman" w:hAnsi="Times New Roman" w:eastAsia="宋体"/>
                <w:kern w:val="0"/>
                <w:sz w:val="18"/>
                <w:szCs w:val="18"/>
                <w:shd w:val="clear" w:color="auto" w:fill="FFFFFF"/>
              </w:rPr>
              <w:instrText xml:space="preserve">Addin PF16</w:instrText>
            </w:r>
            <w:r>
              <w:rPr>
                <w:rFonts w:ascii="Times New Roman" w:hAnsi="Times New Roman" w:eastAsia="宋体"/>
                <w:kern w:val="0"/>
                <w:sz w:val="18"/>
                <w:szCs w:val="18"/>
                <w:shd w:val="clear" w:color="auto" w:fill="FFFFFF"/>
              </w:rPr>
              <w:fldChar w:fldCharType="separate"/>
            </w:r>
            <w:r>
              <w:rPr>
                <w:rFonts w:ascii="Times New Roman" w:hAnsi="Times New Roman" w:eastAsia="宋体"/>
                <w:kern w:val="0"/>
                <w:sz w:val="18"/>
                <w:szCs w:val="18"/>
                <w:shd w:val="clear" w:color="auto" w:fill="FFFFFF"/>
              </w:rPr>
              <w:fldChar w:fldCharType="end"/>
            </w: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C52F05"/>
    <w:rsid w:val="388B145C"/>
    <w:rsid w:val="76C52F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2021-05-10T04:25:00Z</dcterms:created>
  <dc:creator>嗨</dc:creator>
  <cp:lastModifiedBy>嗨</cp:lastModifiedBy>
  <dcterms:modified xsi:type="dcterms:W3CDTF">2021-05-31T02:45:25Z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2052-11.1.0.10359</vt:lpwstr>
  </property>
  <property fmtid="{D5CDD505-2E9C-101B-9397-08002B2CF9AE}" pid="3" name="ICV">
    <vt:lpwstr>16AAB5464C1349AA85213D300F73D8DB</vt:lpwstr>
  </property>
</Properties>
</file>