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rPr>
          <w:rFonts w:hint="eastAsia" w:ascii="Times New Roman" w:hAnsi="Times New Roman" w:eastAsia="宋体"/>
          <w:b/>
          <w:bCs/>
          <w:kern w:val="0"/>
          <w:sz w:val="36"/>
          <w:szCs w:val="36"/>
          <w:lang w:eastAsia="zh-CN"/>
        </w:rPr>
      </w:pPr>
      <w:r>
        <w:rPr>
          <w:rFonts w:hint="eastAsia" w:ascii="Times New Roman" w:hAnsi="Times New Roman" w:eastAsia="宋体"/>
          <w:b/>
          <w:bCs/>
          <w:kern w:val="0"/>
          <w:sz w:val="36"/>
          <w:szCs w:val="36"/>
          <w:lang w:eastAsia="zh-CN"/>
        </w:rPr>
        <w:t>中共长沙市望城区纪律检查委员会</w:t>
      </w:r>
    </w:p>
    <w:p>
      <w:pPr>
        <w:keepNext w:val="0"/>
        <w:keepLines w:val="0"/>
        <w:pageBreakBefore w:val="0"/>
        <w:widowControl/>
        <w:kinsoku/>
        <w:wordWrap/>
        <w:overflowPunct/>
        <w:topLinePunct w:val="0"/>
        <w:autoSpaceDE/>
        <w:autoSpaceDN/>
        <w:bidi w:val="0"/>
        <w:adjustRightInd/>
        <w:snapToGrid/>
        <w:spacing w:line="560" w:lineRule="exact"/>
        <w:jc w:val="center"/>
        <w:rPr>
          <w:rFonts w:hint="eastAsia" w:ascii="Times New Roman" w:hAnsi="Times New Roman" w:eastAsia="宋体"/>
          <w:b/>
          <w:bCs/>
          <w:kern w:val="0"/>
          <w:sz w:val="36"/>
          <w:szCs w:val="36"/>
          <w:lang w:eastAsia="zh-CN"/>
        </w:rPr>
      </w:pPr>
      <w:r>
        <w:rPr>
          <w:rFonts w:hint="eastAsia" w:ascii="Times New Roman" w:hAnsi="Times New Roman" w:eastAsia="宋体"/>
          <w:b/>
          <w:bCs/>
          <w:kern w:val="0"/>
          <w:sz w:val="36"/>
          <w:szCs w:val="36"/>
          <w:lang w:eastAsia="zh-CN"/>
        </w:rPr>
        <w:t>长沙市望城区监察委员会</w:t>
      </w:r>
    </w:p>
    <w:p>
      <w:pPr>
        <w:keepNext w:val="0"/>
        <w:keepLines w:val="0"/>
        <w:pageBreakBefore w:val="0"/>
        <w:widowControl/>
        <w:kinsoku/>
        <w:wordWrap/>
        <w:overflowPunct/>
        <w:topLinePunct w:val="0"/>
        <w:autoSpaceDE/>
        <w:autoSpaceDN/>
        <w:bidi w:val="0"/>
        <w:adjustRightInd/>
        <w:snapToGrid/>
        <w:spacing w:line="560" w:lineRule="exact"/>
        <w:jc w:val="center"/>
        <w:rPr>
          <w:rFonts w:ascii="Times New Roman" w:hAnsi="Times New Roman"/>
          <w:sz w:val="36"/>
          <w:szCs w:val="36"/>
        </w:rPr>
      </w:pPr>
      <w:r>
        <w:rPr>
          <w:rFonts w:hint="eastAsia" w:ascii="Times New Roman" w:hAnsi="Times New Roman" w:eastAsia="宋体"/>
          <w:b/>
          <w:bCs/>
          <w:kern w:val="0"/>
          <w:sz w:val="36"/>
          <w:szCs w:val="36"/>
          <w:lang w:eastAsia="zh-CN"/>
        </w:rPr>
        <w:t>2019年度整体支出预算绩效自评报告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ascii="Times New Roman" w:hAnsi="Times New Roman" w:eastAsia="黑体"/>
          <w:bCs/>
          <w:kern w:val="0"/>
          <w:sz w:val="32"/>
          <w:szCs w:val="32"/>
        </w:rPr>
      </w:pPr>
      <w:r>
        <w:rPr>
          <w:rFonts w:hint="eastAsia" w:ascii="Times New Roman" w:hAnsi="Times New Roman" w:eastAsia="黑体"/>
          <w:bCs/>
          <w:kern w:val="0"/>
          <w:sz w:val="32"/>
          <w:szCs w:val="32"/>
          <w:lang w:eastAsia="zh-CN"/>
        </w:rPr>
        <w:t>一、</w:t>
      </w:r>
      <w:r>
        <w:rPr>
          <w:rFonts w:ascii="Times New Roman" w:hAnsi="Times New Roman" w:eastAsia="黑体"/>
          <w:bCs/>
          <w:kern w:val="0"/>
          <w:sz w:val="32"/>
          <w:szCs w:val="32"/>
        </w:rPr>
        <w:t>单位基本情况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rPr>
      </w:pPr>
      <w:r>
        <w:rPr>
          <w:rFonts w:hint="eastAsia" w:ascii="楷体_GB2312" w:hAnsi="楷体_GB2312" w:eastAsia="楷体_GB2312" w:cs="楷体_GB2312"/>
          <w:b/>
          <w:bCs/>
          <w:i w:val="0"/>
          <w:caps w:val="0"/>
          <w:color w:val="000000"/>
          <w:spacing w:val="0"/>
          <w:sz w:val="32"/>
          <w:szCs w:val="32"/>
        </w:rPr>
        <w:t>（一）职能职责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1.负责全区党的纪律检查工作。贯彻落实党中央、中央纪委、省委、省纪委、市委、市纪委、区委关于纪</w:t>
      </w:r>
      <w:r>
        <w:rPr>
          <w:rFonts w:hint="eastAsia" w:ascii="仿宋_GB2312" w:eastAsia="仿宋_GB2312" w:cs="仿宋_GB2312"/>
          <w:b w:val="0"/>
          <w:i w:val="0"/>
          <w:caps w:val="0"/>
          <w:color w:val="000000"/>
          <w:spacing w:val="0"/>
          <w:kern w:val="0"/>
          <w:sz w:val="32"/>
          <w:szCs w:val="32"/>
          <w:lang w:val="en-US" w:eastAsia="zh-CN" w:bidi="ar-SA"/>
        </w:rPr>
        <w:t>律</w:t>
      </w:r>
      <w:bookmarkStart w:id="0" w:name="_GoBack"/>
      <w:bookmarkEnd w:id="0"/>
      <w:r>
        <w:rPr>
          <w:rFonts w:hint="eastAsia" w:ascii="仿宋_GB2312" w:hAnsi="微软雅黑" w:eastAsia="仿宋_GB2312" w:cs="仿宋_GB2312"/>
          <w:b w:val="0"/>
          <w:i w:val="0"/>
          <w:caps w:val="0"/>
          <w:color w:val="000000"/>
          <w:spacing w:val="0"/>
          <w:kern w:val="0"/>
          <w:sz w:val="32"/>
          <w:szCs w:val="32"/>
          <w:lang w:val="en-US" w:eastAsia="zh-CN" w:bidi="ar-SA"/>
        </w:rPr>
        <w:t>检查工作的决定，维护党的章程和其他党内法规，检查党的路线方针政策和决议的执行情况，协助区委推进全面从严治党、加强党风廉政建设和组织协调反腐败工作。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2.依照党的章程和其他党内法规履行监督、执纪、问责职责。负责经常对党员进行遵守纪律的教育，作出关于维护党纪的决定；对区委工作部门和区委批准设立的党组（党委），街镇党（工）委、纪（工）委等党的组织以及区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3.在区委领导下组织开展巡察工作。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4.负责全区监察工作。贯彻落实党中央、中央纪委国家监委、省纪委省监委、市纪委市监委及区委关于监察工作的决定，维护宪法法律，依法对区委管理的行使公权力的公职人员进行监察，调查职务违法和职务犯罪，开展廉政建设和反腐败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5.依照法律规定履行监督、调查、处置职责。推动开展廉政教育，对区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6.负责组织协调全区全面从严治党、党风廉政建设和反腐败宣传教育工作。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7.负责综合分析全区全面从严治党、党风廉政建设和反腐败工作情况，对纪检监察工作重要理论及实践问题进行调查研究；制定本区规范性文件。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8.负责协调落实中央纪委国家监委、省纪委省监委、市纪委市监委交办的反腐败国际交流、合作等方面事宜；加强对全区反腐败国际追逃追赃和防逃工作的组织协调，督促有关单位做好相关工作。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9.根据干部管理权限，负责全区纪检监察系统领导班子建设、干部队伍建设和组织建设的综合规划、政策研究、制度建设和业务指导；会同有关方面做好区纪委区监委派驻（出）机构、街镇纪检监察组织、区直单位纪检监察组织领导班子建设有关工作，组织和指导全区纪检监察系统干部教育培训工作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10.完成中央纪委国家监委，省纪委省监委、市纪委市监委和区委交办的其他任务。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（二）机构设置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480" w:lineRule="exact"/>
        <w:ind w:left="0" w:right="0" w:firstLine="640" w:firstLineChars="2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中共长沙市望城区纪律检查委员会、长沙市望城区监察委员会（以下简称区纪委监委）是党统一领导下的反腐败工作机构，履行纪检、监察两项职责，实行一套工作机构、两个机关名称，共同设立内设机构，区纪委监委机关设立办公室、组织部、宣传部、党风政风监督室、信访室、案件监督管理室、案件审理室、干部监督室、第一至第四巡察组、第一至第六纪检监察室18个内设机构。区委巡察办及巡察组是区委巡察工作领导小组的日常办事机构，设在区纪委。区纪委监委位为全额拨款行政单位。2019年区纪委监委预算编制总数为103名（含区委巡察办及巡察组15名，派驻纪检组39名），其中行政编制101名，全额拨款事业编制2名。年底实有人数102人（含区委巡察办及巡察组13人，派驻纪检组39人），其中公务员100人，行政工勤编2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sz w:val="32"/>
          <w:szCs w:val="32"/>
        </w:rPr>
      </w:pPr>
      <w:r>
        <w:rPr>
          <w:rFonts w:hint="eastAsia" w:ascii="Times New Roman" w:hAnsi="Times New Roman" w:eastAsia="黑体"/>
          <w:sz w:val="32"/>
          <w:szCs w:val="32"/>
          <w:lang w:eastAsia="zh-CN"/>
        </w:rPr>
        <w:t>二、</w:t>
      </w:r>
      <w:r>
        <w:rPr>
          <w:rFonts w:ascii="Times New Roman" w:hAnsi="Times New Roman" w:eastAsia="黑体"/>
          <w:sz w:val="32"/>
          <w:szCs w:val="32"/>
        </w:rPr>
        <w:t>单位预算管理及执行情况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2019部门预算编报范围包括委机关、区委巡察办和区委四个巡察组。收入为财政拨款（补助）收入；支出包括保障委机关、区委巡察办和区委四个巡察组基本运行的经费及纪检日常事务专项经费。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部门收支总体情况</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_GB2312" w:hAnsi="Calibri" w:eastAsia="仿宋_GB2312" w:cs="Times New Roman"/>
          <w:b w:val="0"/>
          <w:bCs w:val="0"/>
          <w:color w:val="auto"/>
          <w:kern w:val="2"/>
          <w:sz w:val="32"/>
          <w:szCs w:val="32"/>
          <w:lang w:val="en-US" w:eastAsia="zh-CN" w:bidi="ar-SA"/>
        </w:rPr>
        <w:t>1.收入预算：</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2019年年初预算数调整数2406.4074万元，其中，一般公共预算拨款收入调整数2406.4074万元。收入较去年增加主要原因是根据《中共中央办公厅印发〈关于在全国各地推开国家监察体制改革试点方案〉的通知》（中办发〔2017〕62号），区监委正式组建，与区纪委合署办公。</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val="0"/>
          <w:bCs w:val="0"/>
          <w:color w:val="auto"/>
          <w:kern w:val="2"/>
          <w:sz w:val="32"/>
          <w:szCs w:val="32"/>
          <w:lang w:val="en-US" w:eastAsia="zh-CN" w:bidi="ar-SA"/>
        </w:rPr>
        <w:t>2.支出预算：</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2019年年初预算调整数2406.4074万元。其中一般公共服务支出2406.4074万元。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（二）一般公共预算拨款支出预算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2019年一般公共预算拨款收入2406.4074万元，具体安排情况如下：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val="0"/>
          <w:bCs w:val="0"/>
          <w:color w:val="auto"/>
          <w:kern w:val="2"/>
          <w:sz w:val="32"/>
          <w:szCs w:val="32"/>
          <w:lang w:val="en-US" w:eastAsia="zh-CN" w:bidi="ar-SA"/>
        </w:rPr>
        <w:t>1.基本支出：</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2019年年初预算调整数为1516.6386万元，是指为保障单位机构运转、完成日常工作任务而发生的各项支出。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Calibri" w:eastAsia="仿宋_GB2312" w:cs="Times New Roman"/>
          <w:b w:val="0"/>
          <w:bCs w:val="0"/>
          <w:color w:val="auto"/>
          <w:kern w:val="2"/>
          <w:sz w:val="32"/>
          <w:szCs w:val="32"/>
          <w:lang w:val="en-US" w:eastAsia="zh-CN" w:bidi="ar-SA"/>
        </w:rPr>
        <w:t>2.项目支出：</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2019年年初预算调整数为889.7688万元，是单位为履行纪检监察职能职责而发生的支出，主要用于党风廉政建设、区委巡察、大要案查处。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rPr>
          <w:rFonts w:hint="eastAsia" w:ascii="Times New Roman" w:hAnsi="Times New Roman" w:eastAsia="黑体"/>
          <w:bCs/>
          <w:kern w:val="0"/>
          <w:sz w:val="32"/>
          <w:szCs w:val="32"/>
          <w:lang w:eastAsia="zh-CN"/>
        </w:rPr>
      </w:pPr>
      <w:r>
        <w:rPr>
          <w:rFonts w:hint="eastAsia" w:ascii="Times New Roman" w:hAnsi="Times New Roman" w:eastAsia="黑体"/>
          <w:bCs/>
          <w:kern w:val="0"/>
          <w:sz w:val="32"/>
          <w:szCs w:val="32"/>
          <w:lang w:eastAsia="zh-CN"/>
        </w:rPr>
        <w:t>三、单位资产管理情况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000000" w:themeColor="text1"/>
          <w:sz w:val="32"/>
          <w:szCs w:val="32"/>
          <w:lang w:val="en-US" w:eastAsia="zh-CN"/>
          <w14:textFill>
            <w14:solidFill>
              <w14:schemeClr w14:val="tx1"/>
            </w14:solidFill>
          </w14:textFill>
        </w:rPr>
      </w:pPr>
      <w:r>
        <w:rPr>
          <w:rFonts w:hint="eastAsia" w:ascii="仿宋_GB2312" w:hAnsi="仿宋" w:eastAsia="仿宋_GB2312"/>
          <w:color w:val="000000" w:themeColor="text1"/>
          <w:sz w:val="32"/>
          <w:szCs w:val="32"/>
          <w:lang w:val="en-US" w:eastAsia="zh-CN"/>
          <w14:textFill>
            <w14:solidFill>
              <w14:schemeClr w14:val="tx1"/>
            </w14:solidFill>
          </w14:textFill>
        </w:rPr>
        <w:t>截至2019年12月31日，本单位年末总计账面数（净值，下同）8170378.95元，较年初减少53.00%；经清查盘点后，资产年末总计实有数8170378.95元。负债年末总计账面数5619128.92元，较年初减少40.00%。</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1.按单位性质资产情况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en-US" w:eastAsia="zh-CN"/>
        </w:rPr>
      </w:pPr>
      <w:r>
        <w:rPr>
          <w:rFonts w:hint="eastAsia"/>
          <w:lang w:val="en-US" w:eastAsia="zh-CN"/>
        </w:rPr>
        <w:t>本单位行政单位国有资产8170378.95元，占100.00%。</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2.资产构成情况</w:t>
      </w:r>
    </w:p>
    <w:p>
      <w:pPr>
        <w:keepNext w:val="0"/>
        <w:keepLines w:val="0"/>
        <w:pageBreakBefore w:val="0"/>
        <w:kinsoku/>
        <w:wordWrap/>
        <w:overflowPunct/>
        <w:topLinePunct w:val="0"/>
        <w:autoSpaceDE/>
        <w:autoSpaceDN/>
        <w:bidi w:val="0"/>
        <w:spacing w:line="560" w:lineRule="exact"/>
        <w:ind w:firstLine="640" w:firstLineChars="200"/>
        <w:jc w:val="both"/>
        <w:rPr>
          <w:rFonts w:hint="default"/>
          <w:lang w:val="en-US" w:eastAsia="zh-CN"/>
        </w:rPr>
      </w:pPr>
      <w:r>
        <w:rPr>
          <w:rFonts w:hint="eastAsia"/>
          <w:lang w:val="en-US" w:eastAsia="zh-CN"/>
        </w:rPr>
        <w:t>流动资金5614475.30元，占比68.71%。固定资产1614219.65元，占比19.75%。无形资产941684.00元，占比11.54%。</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3.固定资产构成情况</w:t>
      </w:r>
    </w:p>
    <w:p>
      <w:pPr>
        <w:keepNext w:val="0"/>
        <w:keepLines w:val="0"/>
        <w:pageBreakBefore w:val="0"/>
        <w:kinsoku/>
        <w:wordWrap/>
        <w:overflowPunct/>
        <w:topLinePunct w:val="0"/>
        <w:autoSpaceDE/>
        <w:autoSpaceDN/>
        <w:bidi w:val="0"/>
        <w:spacing w:line="560" w:lineRule="exact"/>
        <w:ind w:firstLine="640" w:firstLineChars="200"/>
        <w:jc w:val="both"/>
        <w:rPr>
          <w:rFonts w:hint="default"/>
          <w:lang w:val="en-US" w:eastAsia="zh-CN"/>
        </w:rPr>
      </w:pPr>
      <w:r>
        <w:rPr>
          <w:rFonts w:hint="eastAsia"/>
          <w:lang w:val="en-US" w:eastAsia="zh-CN"/>
        </w:rPr>
        <w:t>本单位固定资产期末账面数原值5865435.20元，累计折旧3309531.55元，净值2555903.65元，其中通用设备原值</w:t>
      </w:r>
      <w:r>
        <w:rPr>
          <w:rFonts w:hint="default"/>
          <w:lang w:val="en-US" w:eastAsia="zh-CN"/>
        </w:rPr>
        <w:t>3657808.40</w:t>
      </w:r>
      <w:r>
        <w:rPr>
          <w:rFonts w:hint="eastAsia"/>
          <w:lang w:val="en-US" w:eastAsia="zh-CN"/>
        </w:rPr>
        <w:t>元，占固定资产62.36%；专用设备原值113110.00元，占固定资产1.90%；家具、用具、装具及动植物原值1138932.80元，占比19.41%；无形资产原值955584.00元，占比16.29%。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（二）具体管理情况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1.资产配置情况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en-US" w:eastAsia="zh-CN"/>
        </w:rPr>
      </w:pPr>
      <w:r>
        <w:rPr>
          <w:rFonts w:hint="eastAsia"/>
          <w:lang w:val="en-US" w:eastAsia="zh-CN"/>
        </w:rPr>
        <w:t>我单位新增固定资产15737681.50元。从资产类别分析看，新增土地、房屋及构筑物0.00元；新增通用设备数量63个，价值333476.00元；新增专用设备数量4个，价值18955.50元；新增文物和陈列品0元，新增图书档案0元；新增家具、用具、装具及动植物数量152个，价值229666.00元，新增无形资产数量2个，价值955584.00元。</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2.资产使用情况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en-US" w:eastAsia="zh-CN"/>
        </w:rPr>
      </w:pPr>
      <w:r>
        <w:rPr>
          <w:rFonts w:hint="eastAsia"/>
          <w:lang w:val="en-US" w:eastAsia="zh-CN"/>
        </w:rPr>
        <w:t>（1）资产使用情况。按照使用情况，本单位使用固定资产总计5865435.20元，其中自用5865435.20元；闲置0.00元；无形资产总计955584.00元；其中自用955584.00元；闲置0.00元；其他0.00元。</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en-US" w:eastAsia="zh-CN"/>
        </w:rPr>
      </w:pPr>
      <w:r>
        <w:rPr>
          <w:rFonts w:hint="eastAsia"/>
          <w:lang w:val="en-US" w:eastAsia="zh-CN"/>
        </w:rPr>
        <w:t>（2）出租出借情况。本单位无出租出借资产。</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en-US" w:eastAsia="zh-CN"/>
        </w:rPr>
      </w:pPr>
      <w:r>
        <w:rPr>
          <w:rFonts w:hint="eastAsia"/>
          <w:lang w:val="en-US" w:eastAsia="zh-CN"/>
        </w:rPr>
        <w:t>（3）对外投资情况。本单位对无外投资出资资产账面情况。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3.资产处置情况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en-US" w:eastAsia="zh-CN"/>
        </w:rPr>
      </w:pPr>
      <w:r>
        <w:rPr>
          <w:rFonts w:hint="eastAsia"/>
          <w:lang w:val="en-US" w:eastAsia="zh-CN"/>
        </w:rPr>
        <w:t>2019年无资产处置。</w:t>
      </w:r>
    </w:p>
    <w:p>
      <w:pPr>
        <w:keepNext w:val="0"/>
        <w:keepLines w:val="0"/>
        <w:pageBreakBefore w:val="0"/>
        <w:kinsoku/>
        <w:wordWrap/>
        <w:overflowPunct/>
        <w:topLinePunct w:val="0"/>
        <w:autoSpaceDE/>
        <w:autoSpaceDN/>
        <w:bidi w:val="0"/>
        <w:spacing w:line="560" w:lineRule="exact"/>
        <w:ind w:firstLine="640" w:firstLineChars="200"/>
        <w:jc w:val="both"/>
        <w:rPr>
          <w:rFonts w:hint="eastAsia"/>
          <w:b w:val="0"/>
          <w:bCs w:val="0"/>
          <w:lang w:val="en-US" w:eastAsia="zh-CN"/>
        </w:rPr>
      </w:pPr>
      <w:r>
        <w:rPr>
          <w:rFonts w:hint="eastAsia"/>
          <w:b w:val="0"/>
          <w:bCs w:val="0"/>
          <w:lang w:val="en-US" w:eastAsia="zh-CN"/>
        </w:rPr>
        <w:t>4.资产收益情况</w:t>
      </w:r>
    </w:p>
    <w:p>
      <w:pPr>
        <w:keepNext w:val="0"/>
        <w:keepLines w:val="0"/>
        <w:pageBreakBefore w:val="0"/>
        <w:kinsoku/>
        <w:wordWrap/>
        <w:overflowPunct/>
        <w:topLinePunct w:val="0"/>
        <w:autoSpaceDE/>
        <w:autoSpaceDN/>
        <w:bidi w:val="0"/>
        <w:spacing w:line="560" w:lineRule="exact"/>
        <w:ind w:firstLine="640" w:firstLineChars="200"/>
        <w:jc w:val="both"/>
        <w:rPr>
          <w:rFonts w:hint="eastAsia"/>
          <w:lang w:val="zh-CN" w:eastAsia="zh-CN"/>
        </w:rPr>
      </w:pPr>
      <w:r>
        <w:rPr>
          <w:rFonts w:hint="eastAsia"/>
          <w:lang w:val="en-US" w:eastAsia="zh-CN"/>
        </w:rPr>
        <w:t>2019年无资产收益情况。</w:t>
      </w:r>
    </w:p>
    <w:p>
      <w:pPr>
        <w:keepNext w:val="0"/>
        <w:keepLines w:val="0"/>
        <w:pageBreakBefore w:val="0"/>
        <w:widowControl/>
        <w:kinsoku/>
        <w:wordWrap/>
        <w:overflowPunct/>
        <w:topLinePunct w:val="0"/>
        <w:autoSpaceDE/>
        <w:autoSpaceDN/>
        <w:bidi w:val="0"/>
        <w:adjustRightInd/>
        <w:snapToGrid/>
        <w:spacing w:line="560" w:lineRule="exact"/>
        <w:ind w:firstLine="627" w:firstLineChars="196"/>
        <w:jc w:val="left"/>
        <w:rPr>
          <w:rFonts w:hint="eastAsia" w:ascii="Times New Roman" w:hAnsi="Times New Roman" w:eastAsia="黑体"/>
          <w:bCs/>
          <w:kern w:val="0"/>
          <w:sz w:val="32"/>
          <w:szCs w:val="32"/>
          <w:lang w:eastAsia="zh-CN"/>
        </w:rPr>
      </w:pPr>
      <w:r>
        <w:rPr>
          <w:rFonts w:hint="eastAsia" w:ascii="Times New Roman" w:hAnsi="Times New Roman" w:eastAsia="黑体"/>
          <w:bCs/>
          <w:kern w:val="0"/>
          <w:sz w:val="32"/>
          <w:szCs w:val="32"/>
          <w:lang w:eastAsia="zh-CN"/>
        </w:rPr>
        <w:t>四、单位整体支出绩效目标及开展情况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单位整体支出绩效目标：</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践行“两个维护”，切实强化政治监督；纠“四风”树新风，集中整治形式主义官僚主义；深化纪检监察体制改革，构建权威高效监督体系。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探索建立廉政“画像”工作体系，适时更新836名领导干部廉政画像“备忘录”活页夹信息库，为全区政治生态建设提供有力支撑。严把党风廉政意见回复关，对138名党员干部、公职人员提出具体廉政意见，严防“带病提拔”“带病评优”。深化运用“四种形态”批评教育帮助和处理1451人次，释放监督最大效应。对</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38名责任不落实、履职不到位、工作推动不力的党员干部严肃问责，以精准问责推动干部负责。13家派驻纪检监察组共立案43件，派驻监督效果明显提升。</w:t>
      </w:r>
    </w:p>
    <w:p>
      <w:pPr>
        <w:keepNext w:val="0"/>
        <w:keepLines w:val="0"/>
        <w:pageBreakBefore w:val="0"/>
        <w:widowControl/>
        <w:kinsoku/>
        <w:wordWrap/>
        <w:overflowPunct/>
        <w:topLinePunct w:val="0"/>
        <w:autoSpaceDE/>
        <w:autoSpaceDN/>
        <w:bidi w:val="0"/>
        <w:adjustRightInd/>
        <w:snapToGrid/>
        <w:spacing w:line="560" w:lineRule="exact"/>
        <w:ind w:firstLine="627" w:firstLineChars="196"/>
        <w:jc w:val="left"/>
        <w:rPr>
          <w:rFonts w:hint="eastAsia" w:ascii="Times New Roman" w:hAnsi="Times New Roman" w:eastAsia="黑体"/>
          <w:bCs/>
          <w:kern w:val="0"/>
          <w:sz w:val="32"/>
          <w:szCs w:val="32"/>
          <w:lang w:eastAsia="zh-CN"/>
        </w:rPr>
      </w:pPr>
      <w:r>
        <w:rPr>
          <w:rFonts w:hint="eastAsia" w:ascii="Times New Roman" w:hAnsi="Times New Roman" w:eastAsia="黑体"/>
          <w:bCs/>
          <w:kern w:val="0"/>
          <w:sz w:val="32"/>
          <w:szCs w:val="32"/>
          <w:lang w:eastAsia="zh-CN"/>
        </w:rPr>
        <w:t>五、单位整体支出绩效实现情况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区纪委监委深学笃用习近平新时代中国特色社会主义思想和党的十九大精神，区纪委常委会20余次传达学习中央、省、市有关领导讲话精神和重要文件、会议精神，及时向市纪委监委、区委报告工作，逐项抓好交办事项。全区各级纪检监察组织把政治监督具体化、常态化，坚决查处拓宇混凝土质量问题系列案；严肃查处悦禧山庄无证无序开发破坏环境问题系列案，移送司法机关3人，追责问责41人；对涉文烈宏、朱红建违规建房的相关党员干部，</w:t>
      </w:r>
      <w:r>
        <w:rPr>
          <w:rFonts w:hint="eastAsia" w:ascii="仿宋_GB2312" w:hAnsi="仿宋" w:eastAsia="仿宋_GB2312" w:cs="Times New Roman"/>
          <w:color w:val="auto"/>
          <w:kern w:val="2"/>
          <w:sz w:val="32"/>
          <w:szCs w:val="32"/>
          <w:lang w:val="zh-CN" w:eastAsia="zh-CN" w:bidi="ar-SA"/>
        </w:rPr>
        <w:t>处分46人，处理32人，</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确保党中央和省市区委重大决策部署有力落实。</w:t>
      </w:r>
    </w:p>
    <w:p>
      <w:pPr>
        <w:keepNext w:val="0"/>
        <w:keepLines w:val="0"/>
        <w:pageBreakBefore w:val="0"/>
        <w:kinsoku/>
        <w:wordWrap/>
        <w:overflowPunct/>
        <w:topLinePunct w:val="0"/>
        <w:autoSpaceDE/>
        <w:autoSpaceDN/>
        <w:bidi w:val="0"/>
        <w:spacing w:line="560" w:lineRule="exact"/>
        <w:ind w:firstLine="640" w:firstLineChars="200"/>
        <w:jc w:val="both"/>
        <w:rPr>
          <w:rFonts w:ascii="Times New Roman" w:hAnsi="Times New Roman" w:eastAsia="黑体"/>
          <w:sz w:val="32"/>
          <w:szCs w:val="32"/>
        </w:rPr>
      </w:pPr>
      <w:r>
        <w:rPr>
          <w:rFonts w:ascii="Times New Roman" w:hAnsi="Times New Roman" w:eastAsia="黑体"/>
          <w:sz w:val="32"/>
          <w:szCs w:val="32"/>
        </w:rPr>
        <w:t>六、部门单位整体支出绩效中存在问题及改进措施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（一）主要问题及原因分析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1</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预算编制工作有待细化。预算编制不够明确和细化，预算执行力度还要进一步加强。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2</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公用经费控制有一定难度，基本为刚性支出。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i w:val="0"/>
          <w:caps w:val="0"/>
          <w:color w:val="000000"/>
          <w:spacing w:val="0"/>
          <w:sz w:val="32"/>
          <w:szCs w:val="32"/>
          <w:lang w:val="en-US" w:eastAsia="zh-CN"/>
        </w:rPr>
      </w:pPr>
      <w:r>
        <w:rPr>
          <w:rFonts w:hint="eastAsia" w:ascii="楷体_GB2312" w:hAnsi="楷体_GB2312" w:eastAsia="楷体_GB2312" w:cs="楷体_GB2312"/>
          <w:b/>
          <w:bCs/>
          <w:i w:val="0"/>
          <w:caps w:val="0"/>
          <w:color w:val="000000"/>
          <w:spacing w:val="0"/>
          <w:sz w:val="32"/>
          <w:szCs w:val="32"/>
          <w:lang w:val="en-US" w:eastAsia="zh-CN"/>
        </w:rPr>
        <w:t>（二）改进的方向和具体措施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1</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细化预算编制工作，认真做好预算的编制。进一步加强单位内设机构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2</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加强财务管理，严格财务审核。加强单位财务管理，健全单位财务管理制度体系，规范单位财务行为。在费用报账支付时，按照预算规定的费用项目和用途进行资金使用审核、列报支付、财务核算。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3</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进一步细化“三公”经费的管理，合理压缩“三公”经费支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cente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pP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4</w:t>
      </w:r>
      <w:r>
        <w:rPr>
          <w:rFonts w:hint="eastAsia" w:ascii="仿宋_GB2312" w:hAnsi="仿宋"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仿宋" w:eastAsia="仿宋_GB2312" w:cs="Times New Roman"/>
          <w:color w:val="000000" w:themeColor="text1"/>
          <w:kern w:val="2"/>
          <w:sz w:val="32"/>
          <w:szCs w:val="32"/>
          <w:lang w:val="zh-CN" w:eastAsia="zh-CN" w:bidi="ar-SA"/>
          <w14:textFill>
            <w14:solidFill>
              <w14:schemeClr w14:val="tx1"/>
            </w14:solidFill>
          </w14:textFill>
        </w:rPr>
        <w:t>对相关人员加强培训，特别是针对《预算法》《行政事业单位会计制度》等学习培训，规范部门预算收支核算，切实提高部门预算收支管理水平。</w:t>
      </w:r>
    </w:p>
    <w:p>
      <w:pPr>
        <w:keepNext w:val="0"/>
        <w:keepLines w:val="0"/>
        <w:pageBreakBefore w:val="0"/>
        <w:kinsoku/>
        <w:wordWrap/>
        <w:overflowPunct/>
        <w:topLinePunct w:val="0"/>
        <w:autoSpaceDE/>
        <w:autoSpaceDN/>
        <w:bidi w:val="0"/>
        <w:spacing w:line="560" w:lineRule="exact"/>
        <w:ind w:firstLine="640" w:firstLineChars="200"/>
        <w:jc w:val="both"/>
        <w:rPr>
          <w:rFonts w:ascii="Times New Roman" w:hAnsi="Times New Roman"/>
          <w:sz w:val="32"/>
          <w:szCs w:val="32"/>
        </w:rPr>
      </w:pPr>
      <w:r>
        <w:rPr>
          <w:rFonts w:ascii="Times New Roman" w:hAnsi="Times New Roman" w:eastAsia="黑体"/>
          <w:sz w:val="32"/>
          <w:szCs w:val="32"/>
        </w:rPr>
        <w:t>七、其它需要说明的情况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rPr>
          <w:rFonts w:hint="eastAsia"/>
          <w:sz w:val="32"/>
          <w:szCs w:val="32"/>
          <w:lang w:val="en-US" w:eastAsia="zh-CN"/>
        </w:rPr>
      </w:pPr>
      <w:r>
        <w:rPr>
          <w:rFonts w:hint="eastAsia"/>
          <w:sz w:val="32"/>
          <w:szCs w:val="32"/>
          <w:lang w:val="en-US" w:eastAsia="zh-CN"/>
        </w:rPr>
        <w:t>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480" w:lineRule="exact"/>
        <w:ind w:right="0"/>
        <w:jc w:val="right"/>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中共长沙市望城区纪律检查委员会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480" w:lineRule="exact"/>
        <w:ind w:left="0" w:right="0" w:firstLine="3200" w:firstLineChars="1000"/>
        <w:jc w:val="center"/>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长沙市望城区监察委员会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480" w:lineRule="exact"/>
        <w:ind w:left="0" w:right="0" w:firstLine="4480" w:firstLineChars="14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r>
        <w:rPr>
          <w:rFonts w:hint="eastAsia" w:ascii="仿宋_GB2312" w:hAnsi="微软雅黑" w:eastAsia="仿宋_GB2312" w:cs="仿宋_GB2312"/>
          <w:b w:val="0"/>
          <w:i w:val="0"/>
          <w:caps w:val="0"/>
          <w:color w:val="000000"/>
          <w:spacing w:val="0"/>
          <w:kern w:val="0"/>
          <w:sz w:val="32"/>
          <w:szCs w:val="32"/>
          <w:lang w:val="en-US" w:eastAsia="zh-CN" w:bidi="ar-SA"/>
        </w:rPr>
        <w:t> 2020年</w:t>
      </w:r>
      <w:r>
        <w:rPr>
          <w:rFonts w:hint="eastAsia" w:ascii="仿宋_GB2312" w:eastAsia="仿宋_GB2312" w:cs="仿宋_GB2312"/>
          <w:b w:val="0"/>
          <w:i w:val="0"/>
          <w:caps w:val="0"/>
          <w:color w:val="000000"/>
          <w:spacing w:val="0"/>
          <w:kern w:val="0"/>
          <w:sz w:val="32"/>
          <w:szCs w:val="32"/>
          <w:lang w:val="en-US" w:eastAsia="zh-CN" w:bidi="ar-SA"/>
        </w:rPr>
        <w:t>4</w:t>
      </w:r>
      <w:r>
        <w:rPr>
          <w:rFonts w:hint="eastAsia" w:ascii="仿宋_GB2312" w:hAnsi="微软雅黑" w:eastAsia="仿宋_GB2312" w:cs="仿宋_GB2312"/>
          <w:b w:val="0"/>
          <w:i w:val="0"/>
          <w:caps w:val="0"/>
          <w:color w:val="000000"/>
          <w:spacing w:val="0"/>
          <w:kern w:val="0"/>
          <w:sz w:val="32"/>
          <w:szCs w:val="32"/>
          <w:lang w:val="en-US" w:eastAsia="zh-CN" w:bidi="ar-SA"/>
        </w:rPr>
        <w:t>月1</w:t>
      </w:r>
      <w:r>
        <w:rPr>
          <w:rFonts w:hint="eastAsia" w:ascii="仿宋_GB2312" w:eastAsia="仿宋_GB2312" w:cs="仿宋_GB2312"/>
          <w:b w:val="0"/>
          <w:i w:val="0"/>
          <w:caps w:val="0"/>
          <w:color w:val="000000"/>
          <w:spacing w:val="0"/>
          <w:kern w:val="0"/>
          <w:sz w:val="32"/>
          <w:szCs w:val="32"/>
          <w:lang w:val="en-US" w:eastAsia="zh-CN" w:bidi="ar-SA"/>
        </w:rPr>
        <w:t>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autoSpaceDE/>
        <w:autoSpaceDN/>
        <w:bidi w:val="0"/>
        <w:adjustRightInd/>
        <w:snapToGrid/>
        <w:spacing w:before="0" w:beforeAutospacing="0" w:after="0" w:afterAutospacing="0" w:line="480" w:lineRule="exact"/>
        <w:ind w:left="0" w:right="0" w:firstLine="3200" w:firstLineChars="1000"/>
        <w:jc w:val="both"/>
        <w:textAlignment w:val="center"/>
        <w:rPr>
          <w:rFonts w:hint="eastAsia" w:ascii="仿宋_GB2312" w:hAnsi="微软雅黑" w:eastAsia="仿宋_GB2312" w:cs="仿宋_GB2312"/>
          <w:b w:val="0"/>
          <w:i w:val="0"/>
          <w:caps w:val="0"/>
          <w:color w:val="000000"/>
          <w:spacing w:val="0"/>
          <w:kern w:val="0"/>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ED3EFE"/>
    <w:multiLevelType w:val="singleLevel"/>
    <w:tmpl w:val="B9ED3EF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iN2U3NjdlMTRlNjU5ZDRkZmJmYmE4YTg3YzhhZWUifQ=="/>
  </w:docVars>
  <w:rsids>
    <w:rsidRoot w:val="61357F7F"/>
    <w:rsid w:val="02E609A3"/>
    <w:rsid w:val="0E830096"/>
    <w:rsid w:val="17E44C2E"/>
    <w:rsid w:val="1A7D497C"/>
    <w:rsid w:val="1B113EAB"/>
    <w:rsid w:val="23D0417D"/>
    <w:rsid w:val="2FBD0346"/>
    <w:rsid w:val="30BD100D"/>
    <w:rsid w:val="32475DF1"/>
    <w:rsid w:val="422725D9"/>
    <w:rsid w:val="44D37882"/>
    <w:rsid w:val="470356C9"/>
    <w:rsid w:val="555F11C0"/>
    <w:rsid w:val="55750589"/>
    <w:rsid w:val="56ED3316"/>
    <w:rsid w:val="57E2438B"/>
    <w:rsid w:val="5B5675E6"/>
    <w:rsid w:val="5BB74430"/>
    <w:rsid w:val="5F071F03"/>
    <w:rsid w:val="61357F7F"/>
    <w:rsid w:val="64B8165E"/>
    <w:rsid w:val="6F725EEE"/>
    <w:rsid w:val="753956AD"/>
    <w:rsid w:val="763B2534"/>
    <w:rsid w:val="7E074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Normal (Web)"/>
    <w:basedOn w:val="1"/>
    <w:qFormat/>
    <w:uiPriority w:val="0"/>
    <w:pPr>
      <w:jc w:val="left"/>
      <w:textAlignment w:val="center"/>
    </w:pPr>
    <w:rPr>
      <w:rFonts w:hint="eastAsia" w:ascii="微软雅黑" w:hAnsi="微软雅黑" w:eastAsia="微软雅黑"/>
      <w:color w:val="000000"/>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3560</Words>
  <Characters>3975</Characters>
  <Lines>0</Lines>
  <Paragraphs>0</Paragraphs>
  <TotalTime>0</TotalTime>
  <ScaleCrop>false</ScaleCrop>
  <LinksUpToDate>false</LinksUpToDate>
  <CharactersWithSpaces>3980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2021-05-10T04:24:00Z</dcterms:created>
  <dc:creator>嗨</dc:creator>
  <cp:lastModifiedBy>嗨</cp:lastModifiedBy>
  <dcterms:modified xsi:type="dcterms:W3CDTF">2022-11-11T06:57:24Z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A7CEA421C0C547A690573A819DDB3D53</vt:lpwstr>
  </property>
</Properties>
</file>