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r>
        <w:rPr>
          <w:rFonts w:hint="eastAsia" w:ascii="仿宋" w:hAnsi="仿宋" w:eastAsia="仿宋" w:cs="仿宋"/>
          <w:kern w:val="0"/>
          <w:sz w:val="40"/>
          <w:szCs w:val="40"/>
        </w:rPr>
        <w:t>2019</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p>
      <w:pPr>
        <w:spacing w:line="240" w:lineRule="auto"/>
        <w:jc w:val="center"/>
        <w:rPr>
          <w:rFonts w:asciiTheme="minorEastAsia" w:hAnsiTheme="minorEastAsia" w:eastAsiaTheme="minorEastAsia" w:cstheme="minorEastAsia"/>
          <w:kern w:val="0"/>
          <w:sz w:val="21"/>
          <w:szCs w:val="21"/>
        </w:rPr>
      </w:pPr>
    </w:p>
    <w:tbl>
      <w:tblPr>
        <w:tblStyle w:val="4"/>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463"/>
        <w:gridCol w:w="8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望城区委政法委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57"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   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056"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849"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cs="Arial"/>
                <w:color w:val="000000"/>
                <w:sz w:val="22"/>
                <w:szCs w:val="22"/>
              </w:rPr>
              <w:t>1634.66</w:t>
            </w:r>
            <w:r>
              <w:rPr>
                <w:rFonts w:hint="eastAsia" w:asciiTheme="minorEastAsia" w:hAnsiTheme="minorEastAsia" w:eastAsiaTheme="minorEastAsia" w:cstheme="minorEastAsia"/>
                <w:color w:val="000000"/>
                <w:sz w:val="21"/>
                <w:szCs w:val="21"/>
              </w:rPr>
              <w:t>万元</w:t>
            </w:r>
          </w:p>
        </w:tc>
        <w:tc>
          <w:tcPr>
            <w:tcW w:w="2056"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cs="Arial"/>
                <w:color w:val="000000"/>
                <w:sz w:val="22"/>
                <w:szCs w:val="22"/>
              </w:rPr>
              <w:t>1996.56</w:t>
            </w:r>
            <w:r>
              <w:rPr>
                <w:rFonts w:hint="eastAsia" w:asciiTheme="minorEastAsia" w:hAnsiTheme="minorEastAsia" w:eastAsiaTheme="minorEastAsia" w:cstheme="minorEastAsia"/>
                <w:color w:val="000000"/>
                <w:sz w:val="21"/>
                <w:szCs w:val="21"/>
              </w:rPr>
              <w:t>万元</w:t>
            </w:r>
          </w:p>
        </w:tc>
        <w:tc>
          <w:tcPr>
            <w:tcW w:w="849" w:type="dxa"/>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r>
              <w:rPr>
                <w:rFonts w:asciiTheme="minorEastAsia" w:hAnsiTheme="minorEastAsia" w:eastAsiaTheme="minorEastAsia" w:cstheme="minorEastAsia"/>
                <w:color w:val="000000"/>
                <w:sz w:val="21"/>
                <w:szCs w:val="21"/>
              </w:rPr>
              <w:t>22.14</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1634.66</w:t>
            </w:r>
            <w:r>
              <w:rPr>
                <w:rFonts w:hint="eastAsia" w:asciiTheme="minorEastAsia" w:hAnsiTheme="minorEastAsia" w:eastAsiaTheme="minorEastAsia" w:cstheme="minorEastAsia"/>
                <w:color w:val="000000"/>
                <w:sz w:val="21"/>
                <w:szCs w:val="21"/>
              </w:rPr>
              <w:t>万元　</w:t>
            </w:r>
          </w:p>
        </w:tc>
        <w:tc>
          <w:tcPr>
            <w:tcW w:w="2056"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cs="Arial"/>
                <w:color w:val="000000"/>
                <w:sz w:val="22"/>
                <w:szCs w:val="22"/>
              </w:rPr>
              <w:t>1996.56</w:t>
            </w:r>
            <w:r>
              <w:rPr>
                <w:rFonts w:hint="eastAsia" w:asciiTheme="minorEastAsia" w:hAnsiTheme="minorEastAsia" w:eastAsiaTheme="minorEastAsia" w:cstheme="minorEastAsia"/>
                <w:color w:val="000000"/>
                <w:sz w:val="21"/>
                <w:szCs w:val="21"/>
              </w:rPr>
              <w:t>万元　</w:t>
            </w:r>
          </w:p>
        </w:tc>
        <w:tc>
          <w:tcPr>
            <w:tcW w:w="849" w:type="dxa"/>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r>
              <w:rPr>
                <w:rFonts w:asciiTheme="minorEastAsia" w:hAnsiTheme="minorEastAsia" w:eastAsiaTheme="minorEastAsia" w:cstheme="minorEastAsia"/>
                <w:color w:val="000000"/>
                <w:sz w:val="21"/>
                <w:szCs w:val="21"/>
              </w:rPr>
              <w:t>22.14</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056"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849" w:type="dxa"/>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1634.66</w:t>
            </w:r>
            <w:r>
              <w:rPr>
                <w:rFonts w:hint="eastAsia" w:asciiTheme="minorEastAsia" w:hAnsiTheme="minorEastAsia" w:eastAsiaTheme="minorEastAsia" w:cstheme="minorEastAsia"/>
                <w:color w:val="000000"/>
                <w:sz w:val="21"/>
                <w:szCs w:val="21"/>
              </w:rPr>
              <w:t>万元　</w:t>
            </w:r>
          </w:p>
        </w:tc>
        <w:tc>
          <w:tcPr>
            <w:tcW w:w="2056"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cs="Arial"/>
                <w:color w:val="000000"/>
                <w:sz w:val="22"/>
                <w:szCs w:val="22"/>
              </w:rPr>
              <w:t>1996.56</w:t>
            </w:r>
            <w:r>
              <w:rPr>
                <w:rFonts w:hint="eastAsia" w:asciiTheme="minorEastAsia" w:hAnsiTheme="minorEastAsia" w:eastAsiaTheme="minorEastAsia" w:cstheme="minorEastAsia"/>
                <w:color w:val="000000"/>
                <w:sz w:val="21"/>
                <w:szCs w:val="21"/>
              </w:rPr>
              <w:t>万元</w:t>
            </w:r>
          </w:p>
        </w:tc>
        <w:tc>
          <w:tcPr>
            <w:tcW w:w="849" w:type="dxa"/>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r>
              <w:rPr>
                <w:rFonts w:asciiTheme="minorEastAsia" w:hAnsiTheme="minorEastAsia" w:eastAsiaTheme="minorEastAsia" w:cstheme="minorEastAsia"/>
                <w:color w:val="000000"/>
                <w:sz w:val="21"/>
                <w:szCs w:val="21"/>
              </w:rPr>
              <w:t>22.14</w:t>
            </w: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479.66万元　</w:t>
            </w:r>
          </w:p>
        </w:tc>
        <w:tc>
          <w:tcPr>
            <w:tcW w:w="2056"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cs="Arial"/>
                <w:color w:val="000000"/>
                <w:sz w:val="22"/>
                <w:szCs w:val="22"/>
              </w:rPr>
              <w:t>679.56</w:t>
            </w:r>
            <w:r>
              <w:rPr>
                <w:rFonts w:hint="eastAsia" w:asciiTheme="minorEastAsia" w:hAnsiTheme="minorEastAsia" w:eastAsiaTheme="minorEastAsia" w:cstheme="minorEastAsia"/>
                <w:color w:val="000000"/>
                <w:sz w:val="21"/>
                <w:szCs w:val="21"/>
              </w:rPr>
              <w:t>万元　</w:t>
            </w:r>
          </w:p>
        </w:tc>
        <w:tc>
          <w:tcPr>
            <w:tcW w:w="849" w:type="dxa"/>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141.68</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1155万元</w:t>
            </w:r>
          </w:p>
        </w:tc>
        <w:tc>
          <w:tcPr>
            <w:tcW w:w="2056"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cs="Arial"/>
                <w:color w:val="000000"/>
                <w:sz w:val="22"/>
                <w:szCs w:val="22"/>
              </w:rPr>
              <w:t>1317</w:t>
            </w:r>
            <w:r>
              <w:rPr>
                <w:rFonts w:hint="eastAsia" w:asciiTheme="minorEastAsia" w:hAnsiTheme="minorEastAsia" w:eastAsiaTheme="minorEastAsia" w:cstheme="minorEastAsia"/>
                <w:color w:val="000000"/>
                <w:sz w:val="21"/>
                <w:szCs w:val="21"/>
              </w:rPr>
              <w:t>万元　</w:t>
            </w:r>
          </w:p>
        </w:tc>
        <w:tc>
          <w:tcPr>
            <w:tcW w:w="849" w:type="dxa"/>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114.03</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全区社会管理综合治理有效，社会和谐稳定，矛盾化解到位，民众对平安望城建设满意率高，对社会和谐稳定满意度高；</w:t>
            </w:r>
          </w:p>
          <w:p>
            <w:pP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全区政法队伍稳定、队伍建设水平提升。</w:t>
            </w:r>
          </w:p>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　</w:t>
            </w:r>
          </w:p>
        </w:tc>
        <w:tc>
          <w:tcPr>
            <w:tcW w:w="3983" w:type="dxa"/>
            <w:gridSpan w:val="6"/>
            <w:tcBorders>
              <w:tl2br w:val="nil"/>
              <w:tr2bl w:val="nil"/>
            </w:tcBorders>
            <w:tcMar>
              <w:top w:w="15" w:type="dxa"/>
              <w:left w:w="15" w:type="dxa"/>
              <w:bottom w:w="0" w:type="dxa"/>
              <w:right w:w="15" w:type="dxa"/>
            </w:tcMar>
            <w:vAlign w:val="center"/>
          </w:tcPr>
          <w:p>
            <w:pP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全区社会管理综合治理有效，社会和谐稳定，矛盾化解到位，民众对平安望城建设满意率高，对社会和谐稳定满意度高；</w:t>
            </w:r>
          </w:p>
          <w:p>
            <w:pPr>
              <w:spacing w:line="250" w:lineRule="exact"/>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21"/>
                <w:szCs w:val="21"/>
              </w:rPr>
              <w:t>全区政法队伍稳定</w:t>
            </w:r>
            <w:r>
              <w:rPr>
                <w:rFonts w:hint="eastAsia" w:asciiTheme="minorEastAsia" w:hAnsiTheme="minorEastAsia" w:eastAsiaTheme="minorEastAsia" w:cstheme="minorEastAsia"/>
                <w:color w:val="000000"/>
                <w:sz w:val="18"/>
                <w:szCs w:val="18"/>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419"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849"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419"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编制数：机构编制部门核定批复的部门（单位）的人员编制数。</w:t>
            </w:r>
          </w:p>
        </w:tc>
        <w:tc>
          <w:tcPr>
            <w:tcW w:w="849"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849"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849"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849"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419"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楼堂馆所面积控制率=实际建设面积/批准建设面积×100%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849"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419"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楼堂馆所投资预算控制率=实际投资金额/批准投资金额×100% 。</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849"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419"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公用经费控制率=（实际支出公用经费总额/预算安排公用经费总额）×100%。</w:t>
            </w:r>
          </w:p>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849"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849"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419"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849"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0</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①有内部财务管理制度、会计核算制度等管理制度，2分；</w:t>
            </w:r>
          </w:p>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②有本部门厉行节约制度,2分；</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p>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以上情况每出现一例不符合要求的扣1分，扣完为止。</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419"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849" w:type="dxa"/>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w:t>
            </w:r>
            <w:r>
              <w:rPr>
                <w:rFonts w:asciiTheme="minorEastAsia" w:hAnsiTheme="minorEastAsia" w:eastAsiaTheme="minorEastAsia" w:cstheme="minorEastAsia"/>
                <w:color w:val="000000"/>
                <w:kern w:val="0"/>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19"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849"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90%（含）以上计6分；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80%（含）-90%，计4分；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70%（含）-80%，计2分；</w:t>
            </w:r>
          </w:p>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低于70%计0分。</w:t>
            </w:r>
          </w:p>
        </w:tc>
        <w:tc>
          <w:tcPr>
            <w:tcW w:w="2419"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849"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spacing w:line="600" w:lineRule="exact"/>
        <w:jc w:val="center"/>
        <w:rPr>
          <w:rFonts w:ascii="方正小标宋_GBK" w:hAnsi="方正小标宋_GBK" w:eastAsia="方正小标宋_GBK" w:cs="方正小标宋_GBK"/>
          <w:sz w:val="36"/>
          <w:szCs w:val="36"/>
        </w:rPr>
      </w:pPr>
      <w:r>
        <w:rPr>
          <w:rFonts w:hint="eastAsia" w:ascii="仿宋" w:hAnsi="仿宋" w:eastAsia="仿宋" w:cs="仿宋"/>
          <w:sz w:val="36"/>
          <w:szCs w:val="36"/>
        </w:rPr>
        <w:t>2019</w:t>
      </w:r>
      <w:r>
        <w:rPr>
          <w:rFonts w:hint="eastAsia" w:ascii="方正小标宋_GBK" w:hAnsi="方正小标宋_GBK" w:eastAsia="方正小标宋_GBK" w:cs="方正小标宋_GBK"/>
          <w:sz w:val="36"/>
          <w:szCs w:val="36"/>
        </w:rPr>
        <w:t>年度望城区委政法委部门整体支出</w:t>
      </w:r>
    </w:p>
    <w:p>
      <w:pPr>
        <w:spacing w:line="600" w:lineRule="exact"/>
        <w:jc w:val="center"/>
        <w:rPr>
          <w:rFonts w:ascii="Times New Roman" w:hAnsi="Times New Roman" w:eastAsia="方正小标宋简体"/>
          <w:sz w:val="36"/>
          <w:szCs w:val="36"/>
        </w:rPr>
      </w:pPr>
      <w:r>
        <w:rPr>
          <w:rFonts w:hint="eastAsia" w:ascii="方正小标宋_GBK" w:hAnsi="方正小标宋_GBK" w:eastAsia="方正小标宋_GBK" w:cs="方正小标宋_GBK"/>
          <w:sz w:val="36"/>
          <w:szCs w:val="36"/>
        </w:rPr>
        <w:t>预算绩效</w:t>
      </w:r>
      <w:r>
        <w:rPr>
          <w:rFonts w:ascii="Times New Roman" w:hAnsi="Times New Roman" w:eastAsia="方正小标宋简体"/>
          <w:sz w:val="36"/>
          <w:szCs w:val="36"/>
        </w:rPr>
        <w:t>自评报告</w:t>
      </w:r>
    </w:p>
    <w:p>
      <w:pPr>
        <w:spacing w:line="600" w:lineRule="exact"/>
        <w:jc w:val="center"/>
        <w:rPr>
          <w:rFonts w:ascii="Times New Roman" w:hAnsi="Times New Roman"/>
        </w:rPr>
      </w:pPr>
    </w:p>
    <w:p>
      <w:pPr>
        <w:pStyle w:val="8"/>
        <w:numPr>
          <w:ilvl w:val="0"/>
          <w:numId w:val="1"/>
        </w:numPr>
        <w:spacing w:line="600" w:lineRule="exact"/>
        <w:ind w:left="709" w:hanging="709" w:firstLineChars="0"/>
        <w:rPr>
          <w:rFonts w:ascii="Times New Roman" w:hAnsi="Times New Roman" w:eastAsia="黑体"/>
          <w:sz w:val="30"/>
        </w:rPr>
      </w:pPr>
      <w:r>
        <w:rPr>
          <w:rFonts w:ascii="Times New Roman" w:hAnsi="Times New Roman" w:eastAsia="黑体"/>
          <w:sz w:val="30"/>
        </w:rPr>
        <w:t>基本情况</w:t>
      </w:r>
    </w:p>
    <w:p>
      <w:pPr>
        <w:wordWrap w:val="0"/>
        <w:spacing w:line="560" w:lineRule="atLeast"/>
        <w:ind w:firstLine="600"/>
        <w:rPr>
          <w:color w:val="262626"/>
        </w:rPr>
      </w:pPr>
      <w:r>
        <w:rPr>
          <w:rFonts w:hint="eastAsia" w:hAnsi="宋体" w:cs="宋体"/>
          <w:color w:val="262626"/>
          <w:kern w:val="0"/>
        </w:rPr>
        <w:t>望城区委政法委，既是政法部门，又是区委的重要职能部门，是区委加强政法工作和社会管理综合治理工作的参谋和助手，</w:t>
      </w:r>
      <w:r>
        <w:t>实有在职在编2</w:t>
      </w:r>
      <w:r>
        <w:rPr>
          <w:rFonts w:hint="eastAsia"/>
        </w:rPr>
        <w:t>3</w:t>
      </w:r>
      <w:r>
        <w:t>人</w:t>
      </w:r>
      <w:r>
        <w:rPr>
          <w:rFonts w:hint="eastAsia"/>
        </w:rPr>
        <w:t>、退役士官1人、</w:t>
      </w:r>
      <w:r>
        <w:t>临聘人员</w:t>
      </w:r>
      <w:r>
        <w:rPr>
          <w:rFonts w:hint="eastAsia"/>
        </w:rPr>
        <w:t>4</w:t>
      </w:r>
      <w:r>
        <w:t>人</w:t>
      </w:r>
      <w:r>
        <w:rPr>
          <w:rFonts w:hint="eastAsia"/>
          <w:color w:val="262626"/>
        </w:rPr>
        <w:t>，下设综合治理科、维稳指导科、执法监督科、政工室、办公室5个科室。</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主要职责如下：</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1、贯彻执行党的路线、方针、政策，执行中央、省委、市委政法委和区委的决策和部署，统一全区政法各部门的思想和行动。</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2、组织政法工作有关法律及政策的调查研究；指导政法工作改革，对依法治区提出建议。</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3、研究处理政法工作中的重大问题并及时向区委、区政府提出建议，对各个阶段的政法工作进行具体研究和部署，并抓好落实。</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4、支持政法各部门依法独立行使职权；依法组织开展执法监督，指导、协调政法各部门的工作；组织研究、协调有争议的重大、疑难案件。</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5、组织调查、协调处理重大抗法事件，确保政法部门正常开展工作。组织协调全区维护国防利益和军人军属合法权益工作。</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6、组织调查、协调处理涉法涉诉问题。</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7、指导督促全区政法队伍建设；协助组织部门考察、管理政法部门的领导班子、后备干部和干部队伍。</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8、组织、协调、指导全区维护社会稳定及社会治安综合治理工作，适时提出措施和意见。</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9、组织、协调、指导全区人民内部矛盾纠纷排查调处、刑释解教人员安置帮教工作。</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10、组织、协调、指导、督促对邪教及其他有害气功组织问题的防范、处理工作。</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11、组织、协调、指导、督促全区禁毒工作。</w:t>
      </w:r>
    </w:p>
    <w:p>
      <w:pPr>
        <w:widowControl/>
        <w:wordWrap w:val="0"/>
        <w:spacing w:line="560" w:lineRule="atLeast"/>
        <w:ind w:firstLine="640" w:firstLineChars="200"/>
        <w:jc w:val="left"/>
        <w:rPr>
          <w:rFonts w:hAnsi="宋体" w:cs="宋体"/>
          <w:color w:val="262626"/>
          <w:kern w:val="0"/>
        </w:rPr>
      </w:pPr>
      <w:r>
        <w:rPr>
          <w:rFonts w:hint="eastAsia" w:hAnsi="宋体" w:cs="宋体"/>
          <w:color w:val="262626"/>
          <w:kern w:val="0"/>
        </w:rPr>
        <w:t>12、承办区委和上级有关部门交办的其他事项。</w:t>
      </w:r>
    </w:p>
    <w:p>
      <w:pPr>
        <w:spacing w:line="600" w:lineRule="exact"/>
        <w:ind w:firstLine="600" w:firstLineChars="200"/>
        <w:rPr>
          <w:rFonts w:ascii="Times New Roman" w:hAnsi="Times New Roman" w:eastAsia="黑体"/>
          <w:sz w:val="30"/>
        </w:rPr>
      </w:pPr>
      <w:r>
        <w:rPr>
          <w:rFonts w:ascii="Times New Roman" w:hAnsi="Times New Roman" w:eastAsia="黑体"/>
          <w:sz w:val="30"/>
        </w:rPr>
        <w:t>二、预算管理及执行情况</w:t>
      </w:r>
    </w:p>
    <w:p>
      <w:pPr>
        <w:spacing w:line="600" w:lineRule="exact"/>
        <w:ind w:firstLine="640" w:firstLineChars="200"/>
        <w:rPr>
          <w:rFonts w:ascii="Times New Roman" w:hAnsi="Times New Roman" w:eastAsia="黑体"/>
          <w:sz w:val="30"/>
        </w:rPr>
      </w:pPr>
      <w:r>
        <w:rPr>
          <w:rFonts w:hint="eastAsia" w:hAnsi="仿宋_GB2312" w:cs="仿宋_GB2312"/>
          <w:kern w:val="0"/>
        </w:rPr>
        <w:t>本单位年初预算1634.66万元，实际执行</w:t>
      </w:r>
      <w:r>
        <w:rPr>
          <w:rFonts w:hAnsi="仿宋_GB2312" w:cs="仿宋_GB2312"/>
          <w:kern w:val="0"/>
        </w:rPr>
        <w:t>1996.56</w:t>
      </w:r>
      <w:r>
        <w:rPr>
          <w:rFonts w:hint="eastAsia" w:hAnsi="仿宋_GB2312" w:cs="仿宋_GB2312"/>
          <w:kern w:val="0"/>
        </w:rPr>
        <w:t>万元（含由财政直接拨付乡镇街道以及救助对象的专项救助基金</w:t>
      </w:r>
      <w:r>
        <w:rPr>
          <w:rFonts w:hAnsi="仿宋_GB2312" w:cs="仿宋_GB2312"/>
          <w:kern w:val="0"/>
        </w:rPr>
        <w:t>643.81</w:t>
      </w:r>
      <w:r>
        <w:rPr>
          <w:rFonts w:hint="eastAsia" w:hAnsi="仿宋_GB2312" w:cs="仿宋_GB2312"/>
          <w:kern w:val="0"/>
        </w:rPr>
        <w:t>万元，其中平安望城1</w:t>
      </w:r>
      <w:r>
        <w:rPr>
          <w:rFonts w:hAnsi="仿宋_GB2312" w:cs="仿宋_GB2312"/>
          <w:kern w:val="0"/>
        </w:rPr>
        <w:t>93.81</w:t>
      </w:r>
      <w:r>
        <w:rPr>
          <w:rFonts w:hint="eastAsia" w:hAnsi="仿宋_GB2312" w:cs="仿宋_GB2312"/>
          <w:kern w:val="0"/>
        </w:rPr>
        <w:t>万元，交通事故救济基金200万元、突击事件救助专项200万元、涉法涉诉及刑事被害人救助金专项50万元），预算执行率</w:t>
      </w:r>
      <w:r>
        <w:rPr>
          <w:rFonts w:hAnsi="仿宋_GB2312" w:cs="仿宋_GB2312"/>
          <w:kern w:val="0"/>
        </w:rPr>
        <w:t>122.14</w:t>
      </w:r>
      <w:r>
        <w:rPr>
          <w:rFonts w:hint="eastAsia" w:hAnsi="仿宋_GB2312" w:cs="仿宋_GB2312"/>
          <w:kern w:val="0"/>
        </w:rPr>
        <w:t>%，其中基本支出预算479.66万元、项目支出预算</w:t>
      </w:r>
      <w:r>
        <w:rPr>
          <w:rFonts w:hAnsi="仿宋_GB2312" w:cs="仿宋_GB2312"/>
          <w:kern w:val="0"/>
        </w:rPr>
        <w:t>1155</w:t>
      </w:r>
      <w:r>
        <w:rPr>
          <w:rFonts w:hint="eastAsia" w:hAnsi="仿宋_GB2312" w:cs="仿宋_GB2312"/>
          <w:kern w:val="0"/>
        </w:rPr>
        <w:t>万元，实际基本支出</w:t>
      </w:r>
      <w:r>
        <w:rPr>
          <w:rFonts w:hAnsi="仿宋_GB2312" w:cs="仿宋_GB2312"/>
          <w:kern w:val="0"/>
        </w:rPr>
        <w:t>679.56</w:t>
      </w:r>
      <w:r>
        <w:rPr>
          <w:rFonts w:hint="eastAsia" w:hAnsi="仿宋_GB2312" w:cs="仿宋_GB2312"/>
          <w:kern w:val="0"/>
        </w:rPr>
        <w:t>万元、项目支出</w:t>
      </w:r>
      <w:r>
        <w:rPr>
          <w:rFonts w:hAnsi="仿宋_GB2312" w:cs="仿宋_GB2312"/>
          <w:kern w:val="0"/>
        </w:rPr>
        <w:t>1317</w:t>
      </w:r>
      <w:r>
        <w:rPr>
          <w:rFonts w:hint="eastAsia" w:hAnsi="仿宋_GB2312" w:cs="仿宋_GB2312"/>
          <w:kern w:val="0"/>
        </w:rPr>
        <w:t>万元，预算执行率分别为</w:t>
      </w:r>
      <w:r>
        <w:rPr>
          <w:rFonts w:hAnsi="仿宋_GB2312" w:cs="仿宋_GB2312"/>
          <w:kern w:val="0"/>
        </w:rPr>
        <w:t>141.68</w:t>
      </w:r>
      <w:r>
        <w:rPr>
          <w:rFonts w:hint="eastAsia" w:hAnsi="仿宋_GB2312" w:cs="仿宋_GB2312"/>
          <w:kern w:val="0"/>
        </w:rPr>
        <w:t>%、</w:t>
      </w:r>
      <w:r>
        <w:rPr>
          <w:rFonts w:hAnsi="仿宋_GB2312" w:cs="仿宋_GB2312"/>
          <w:kern w:val="0"/>
        </w:rPr>
        <w:t>114.03%</w:t>
      </w:r>
      <w:r>
        <w:rPr>
          <w:rFonts w:hint="eastAsia" w:hAnsi="仿宋_GB2312" w:cs="仿宋_GB2312"/>
          <w:kern w:val="0"/>
        </w:rPr>
        <w:t>。造成差异的主要原因为2</w:t>
      </w:r>
      <w:r>
        <w:rPr>
          <w:rFonts w:hAnsi="仿宋_GB2312" w:cs="仿宋_GB2312"/>
          <w:kern w:val="0"/>
        </w:rPr>
        <w:t>019</w:t>
      </w:r>
      <w:r>
        <w:rPr>
          <w:rFonts w:hint="eastAsia" w:hAnsi="仿宋_GB2312" w:cs="仿宋_GB2312"/>
          <w:kern w:val="0"/>
        </w:rPr>
        <w:t>年3月机构改革时将原6</w:t>
      </w:r>
      <w:r>
        <w:rPr>
          <w:rFonts w:hAnsi="仿宋_GB2312" w:cs="仿宋_GB2312"/>
          <w:kern w:val="0"/>
        </w:rPr>
        <w:t>10</w:t>
      </w:r>
      <w:r>
        <w:rPr>
          <w:rFonts w:hint="eastAsia" w:hAnsi="仿宋_GB2312" w:cs="仿宋_GB2312"/>
          <w:kern w:val="0"/>
        </w:rPr>
        <w:t>办并入我单位，相应基本人员支出增加，另增加反邪教日常事务专项9</w:t>
      </w:r>
      <w:r>
        <w:rPr>
          <w:rFonts w:hAnsi="仿宋_GB2312" w:cs="仿宋_GB2312"/>
          <w:kern w:val="0"/>
        </w:rPr>
        <w:t>5.35</w:t>
      </w:r>
      <w:r>
        <w:rPr>
          <w:rFonts w:hint="eastAsia" w:hAnsi="仿宋_GB2312" w:cs="仿宋_GB2312"/>
          <w:kern w:val="0"/>
        </w:rPr>
        <w:t>万元。</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三、资产管理情况</w:t>
      </w:r>
    </w:p>
    <w:p>
      <w:pPr>
        <w:ind w:firstLine="720" w:firstLineChars="225"/>
      </w:pPr>
      <w:r>
        <w:rPr>
          <w:rFonts w:hint="eastAsia"/>
        </w:rPr>
        <w:t>我</w:t>
      </w:r>
      <w:r>
        <w:rPr>
          <w:rFonts w:hint="eastAsia" w:hAnsi="Times New Roman"/>
        </w:rPr>
        <w:t>单位资产总额14</w:t>
      </w:r>
      <w:r>
        <w:rPr>
          <w:rFonts w:hAnsi="Times New Roman"/>
        </w:rPr>
        <w:t>.</w:t>
      </w:r>
      <w:r>
        <w:rPr>
          <w:rFonts w:hint="eastAsia" w:hAnsi="Times New Roman"/>
        </w:rPr>
        <w:t>2</w:t>
      </w:r>
      <w:r>
        <w:rPr>
          <w:rFonts w:hAnsi="Times New Roman"/>
        </w:rPr>
        <w:t>3</w:t>
      </w:r>
      <w:r>
        <w:rPr>
          <w:rFonts w:hint="eastAsia" w:hAnsi="Times New Roman"/>
        </w:rPr>
        <w:t>万元，</w:t>
      </w:r>
      <w:r>
        <w:rPr>
          <w:rFonts w:hint="eastAsia"/>
        </w:rPr>
        <w:t>其中流动资产0.73万元、</w:t>
      </w:r>
      <w:r>
        <w:rPr>
          <w:rFonts w:hint="eastAsia" w:hAnsi="Times New Roman"/>
        </w:rPr>
        <w:t>固定资产净值13.50万元（原值74.08万元）。</w:t>
      </w:r>
      <w:r>
        <w:rPr>
          <w:rFonts w:hint="eastAsia"/>
        </w:rPr>
        <w:t>固定资产中无土地、房屋建筑物、车辆，通用设备45.58万元，专用设备12万元，家具用具及装具16.50万元。全部为自用，无对外投资情况、无无形资产、无50万元以上通用设备和100以上专用设备。</w:t>
      </w:r>
    </w:p>
    <w:p>
      <w:pPr>
        <w:ind w:firstLine="720" w:firstLineChars="225"/>
      </w:pPr>
      <w:r>
        <w:rPr>
          <w:rFonts w:hint="eastAsia"/>
        </w:rPr>
        <w:t>我单位本年度资产总额较18年度降低48.84万元，其中流动资产减少7.86万元，降低率91.50%，固定资产净值减少40.98万元，降低75.24%。固定资产原值实际增加19.60万元，其中新购2.65万元，机构改革610办合并后调拨资产16.95万元。而2019年度新政府会计制度执行后对固定资产计提历史折旧累计全年折旧60.58万元，导致固定资产净值减少。</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四</w:t>
      </w:r>
      <w:r>
        <w:rPr>
          <w:rFonts w:ascii="Times New Roman" w:hAnsi="Times New Roman" w:eastAsia="黑体"/>
          <w:sz w:val="30"/>
        </w:rPr>
        <w:t>、整体支出绩效目标及开展情况</w:t>
      </w:r>
    </w:p>
    <w:p>
      <w:pPr>
        <w:spacing w:line="560" w:lineRule="exact"/>
        <w:ind w:firstLine="630"/>
        <w:rPr>
          <w:rFonts w:hAnsi="仿宋"/>
        </w:rPr>
      </w:pPr>
      <w:r>
        <w:rPr>
          <w:rFonts w:hint="eastAsia" w:hAnsi="仿宋"/>
        </w:rPr>
        <w:t>2019年，</w:t>
      </w:r>
      <w:r>
        <w:rPr>
          <w:rFonts w:hint="eastAsia" w:hAnsi="仿宋_GB2312" w:cs="仿宋_GB2312"/>
        </w:rPr>
        <w:t>区委政法委</w:t>
      </w:r>
      <w:r>
        <w:rPr>
          <w:rFonts w:hint="eastAsia" w:hAnsi="仿宋_GB2312" w:cs="仿宋_GB2312"/>
          <w:color w:val="333333"/>
        </w:rPr>
        <w:t>在区委的坚强领导下，在上级领导部门的关心支持下，忠诚履职、勇于担当、锐意进取，切实履行维护国家政治安全、确保社会大局稳定、促进社会公平正义、保障人民安居乐业的职责使命，</w:t>
      </w:r>
      <w:r>
        <w:rPr>
          <w:rFonts w:hint="eastAsia" w:hAnsi="仿宋"/>
        </w:rPr>
        <w:t>全区社会大局平安稳定。</w:t>
      </w:r>
    </w:p>
    <w:p>
      <w:pPr>
        <w:spacing w:line="600" w:lineRule="exact"/>
        <w:ind w:firstLine="600" w:firstLineChars="200"/>
        <w:rPr>
          <w:rFonts w:ascii="Times New Roman" w:hAnsi="Times New Roman" w:eastAsia="黑体"/>
          <w:sz w:val="30"/>
          <w:highlight w:val="yellow"/>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五</w:t>
      </w:r>
      <w:r>
        <w:rPr>
          <w:rFonts w:ascii="Times New Roman" w:hAnsi="Times New Roman" w:eastAsia="黑体"/>
          <w:sz w:val="30"/>
        </w:rPr>
        <w:t>、部门（单位）整体支出绩效实现情况</w:t>
      </w:r>
    </w:p>
    <w:p>
      <w:pPr>
        <w:spacing w:line="600" w:lineRule="exact"/>
        <w:ind w:firstLine="640" w:firstLineChars="200"/>
        <w:rPr>
          <w:rFonts w:hAnsi="宋体" w:cs="宋体"/>
          <w:color w:val="262626"/>
          <w:kern w:val="0"/>
        </w:rPr>
      </w:pPr>
      <w:r>
        <w:rPr>
          <w:rFonts w:hAnsi="宋体" w:cs="宋体"/>
          <w:color w:val="262626"/>
          <w:kern w:val="0"/>
        </w:rPr>
        <w:t xml:space="preserve">（一）履职完成情况： </w:t>
      </w:r>
    </w:p>
    <w:p>
      <w:pPr>
        <w:spacing w:line="600" w:lineRule="exact"/>
        <w:ind w:firstLine="640" w:firstLineChars="200"/>
        <w:rPr>
          <w:rFonts w:hAnsi="宋体" w:cs="宋体"/>
          <w:color w:val="262626"/>
          <w:kern w:val="0"/>
        </w:rPr>
      </w:pPr>
      <w:r>
        <w:rPr>
          <w:rFonts w:hint="eastAsia" w:hAnsi="宋体" w:cs="宋体"/>
          <w:color w:val="262626"/>
          <w:kern w:val="0"/>
        </w:rPr>
        <w:t>1、加大对邪教组织的防范监控和打击处理力度，组织相关单位，抓获邪教人员，全力侦破“11.20”全能神专案，一举摧毁全能神邪教组织在长沙的分部。</w:t>
      </w:r>
    </w:p>
    <w:p>
      <w:pPr>
        <w:ind w:firstLine="640" w:firstLineChars="200"/>
        <w:rPr>
          <w:rFonts w:hAnsi="宋体" w:cs="宋体"/>
          <w:color w:val="262626"/>
          <w:kern w:val="0"/>
        </w:rPr>
      </w:pPr>
      <w:r>
        <w:rPr>
          <w:rFonts w:hint="eastAsia" w:hAnsi="宋体" w:cs="宋体"/>
          <w:color w:val="262626"/>
          <w:kern w:val="0"/>
        </w:rPr>
        <w:t>2、全区共打掉涉恶犯罪团伙7个、恶势力犯罪集团2个、黑社会性质犯罪组织2个，抓获团伙成员142人，采取刑事强制措施137人，刑拘120人，扣押冻结总资产估值2.6亿余元。在企业设立警务室，对侵犯企业和企业家权益的违法犯罪实施精确打击、精准防范。</w:t>
      </w:r>
    </w:p>
    <w:p>
      <w:pPr>
        <w:spacing w:line="600" w:lineRule="exact"/>
        <w:ind w:firstLine="640" w:firstLineChars="200"/>
        <w:rPr>
          <w:rFonts w:hAnsi="宋体" w:cs="宋体"/>
          <w:color w:val="262626"/>
          <w:kern w:val="0"/>
        </w:rPr>
      </w:pPr>
      <w:r>
        <w:rPr>
          <w:rFonts w:hint="eastAsia" w:hAnsi="宋体" w:cs="宋体"/>
          <w:color w:val="262626"/>
          <w:kern w:val="0"/>
        </w:rPr>
        <w:t>3、全年投入62万多元，为41410户居民购买了社会治安保险。投入34万多元为全区2298名精神病人购买了精神病人肇事肇祸责任险。为874名专职消防员、公安辅警落实相关优待措施，牵头为全区公安辅警及政府专职消防员购买意外伤害保险，共计投入30余万元。大力提倡见义勇为行为，黄建斌、黄国林、张文清、龙伟、瞿先锋等五位同志由区人民政府认定为2019年见义勇为先进个人，其中，张文清、龙伟、瞿先锋三人被推荐为省级见义勇为对象。</w:t>
      </w:r>
    </w:p>
    <w:p>
      <w:pPr>
        <w:spacing w:line="600" w:lineRule="exact"/>
        <w:ind w:firstLine="640" w:firstLineChars="200"/>
        <w:rPr>
          <w:rFonts w:hAnsi="宋体" w:cs="宋体"/>
          <w:color w:val="262626"/>
          <w:kern w:val="0"/>
        </w:rPr>
      </w:pPr>
      <w:r>
        <w:rPr>
          <w:rFonts w:hAnsi="宋体" w:cs="宋体"/>
          <w:color w:val="262626"/>
          <w:kern w:val="0"/>
        </w:rPr>
        <w:t>4</w:t>
      </w:r>
      <w:r>
        <w:rPr>
          <w:rFonts w:hint="eastAsia" w:hAnsi="宋体" w:cs="宋体"/>
          <w:color w:val="262626"/>
          <w:kern w:val="0"/>
        </w:rPr>
        <w:t>、全年共摸排不稳定问题271起，及时组织化解192起，参与重大安保活动10起。召开情报信息联席会议42次，收集不稳定信息434条，有效化解防控不稳定问题202起，其中进京集访事件0起、到省集访1起,到市集访2起。稳控重点人员392人，其中涉军45人，涉拆121人，涉众222人，扬言极端事件4人。</w:t>
      </w:r>
    </w:p>
    <w:p>
      <w:pPr>
        <w:spacing w:line="600" w:lineRule="exact"/>
        <w:ind w:firstLine="640" w:firstLineChars="200"/>
        <w:rPr>
          <w:rFonts w:hAnsi="宋体" w:cs="宋体"/>
          <w:color w:val="262626"/>
          <w:kern w:val="0"/>
        </w:rPr>
      </w:pPr>
      <w:r>
        <w:rPr>
          <w:rFonts w:hAnsi="宋体" w:cs="宋体"/>
          <w:color w:val="262626"/>
          <w:kern w:val="0"/>
        </w:rPr>
        <w:t>5</w:t>
      </w:r>
      <w:r>
        <w:rPr>
          <w:rFonts w:hint="eastAsia" w:hAnsi="宋体" w:cs="宋体"/>
          <w:color w:val="262626"/>
          <w:kern w:val="0"/>
        </w:rPr>
        <w:t>、坚持“人防”管理常态化，110名驻村辅警已全部到位，分布在望城区110个建制村。积极推进“雪亮工程”建设，共新建高清数字IP网络摄像机400个，接入社会视频2500路。综治信息化平台共录入基础数据69万余条，累计录入事件118条，综治信息平台数据库的功能已基本实现；全区有16个村启动平安乡村建设工作，安装摄像头900余处。</w:t>
      </w:r>
    </w:p>
    <w:p>
      <w:pPr>
        <w:spacing w:line="600" w:lineRule="exact"/>
        <w:ind w:firstLine="640" w:firstLineChars="200"/>
        <w:rPr>
          <w:rFonts w:hAnsi="宋体" w:cs="宋体"/>
          <w:color w:val="262626"/>
          <w:kern w:val="0"/>
        </w:rPr>
      </w:pPr>
      <w:r>
        <w:rPr>
          <w:rFonts w:hAnsi="宋体" w:cs="宋体"/>
          <w:color w:val="262626"/>
          <w:kern w:val="0"/>
        </w:rPr>
        <w:t xml:space="preserve">（二）履职效果情况 </w:t>
      </w:r>
    </w:p>
    <w:p>
      <w:pPr>
        <w:ind w:firstLine="640" w:firstLineChars="200"/>
        <w:rPr>
          <w:rFonts w:hAnsi="宋体" w:cs="宋体"/>
          <w:color w:val="262626"/>
          <w:kern w:val="0"/>
        </w:rPr>
      </w:pPr>
      <w:r>
        <w:rPr>
          <w:rFonts w:hint="eastAsia" w:hAnsi="宋体" w:cs="宋体"/>
          <w:color w:val="262626"/>
          <w:kern w:val="0"/>
        </w:rPr>
        <w:t>1、加强国家安全宣传，做实国家安全人民防线</w:t>
      </w:r>
    </w:p>
    <w:p>
      <w:pPr>
        <w:ind w:firstLine="640" w:firstLineChars="200"/>
        <w:rPr>
          <w:rFonts w:hAnsi="宋体" w:cs="宋体"/>
          <w:color w:val="262626"/>
          <w:kern w:val="0"/>
        </w:rPr>
      </w:pPr>
      <w:r>
        <w:rPr>
          <w:rFonts w:hint="eastAsia" w:hAnsi="宋体" w:cs="宋体"/>
          <w:color w:val="262626"/>
          <w:kern w:val="0"/>
        </w:rPr>
        <w:t>在全区范围内组织实施国家安全宣传活动。在街镇成立人民防线建设小组、在重点村社区明确联络员，构建了牢固的国家安全人民防线。</w:t>
      </w:r>
    </w:p>
    <w:p>
      <w:pPr>
        <w:ind w:firstLine="640" w:firstLineChars="200"/>
        <w:rPr>
          <w:rFonts w:hAnsi="宋体" w:cs="宋体"/>
          <w:color w:val="262626"/>
          <w:kern w:val="0"/>
        </w:rPr>
      </w:pPr>
      <w:r>
        <w:rPr>
          <w:rFonts w:hint="eastAsia" w:hAnsi="宋体" w:cs="宋体"/>
          <w:color w:val="262626"/>
          <w:kern w:val="0"/>
        </w:rPr>
        <w:t>2、扫黑除恶坚定有力，百姓幸福感稳步提升</w:t>
      </w:r>
    </w:p>
    <w:p>
      <w:pPr>
        <w:ind w:firstLine="640" w:firstLineChars="200"/>
        <w:rPr>
          <w:rFonts w:hAnsi="宋体" w:cs="宋体"/>
          <w:color w:val="262626"/>
          <w:kern w:val="0"/>
        </w:rPr>
      </w:pPr>
      <w:r>
        <w:rPr>
          <w:rFonts w:hint="eastAsia" w:hAnsi="宋体" w:cs="宋体"/>
          <w:color w:val="262626"/>
          <w:kern w:val="0"/>
        </w:rPr>
        <w:t>按照中央有黑扫黑、有恶除恶、有乱治乱、固本强基的方针，在全区上下形成扫黑除恶的强大声势和高压态势。查处涉黑涉恶腐败和“保护伞”问题23起，立案审查调查17件17人，给予党纪政务处分14人，组织处理7人，移送司法机关4人。</w:t>
      </w:r>
    </w:p>
    <w:p>
      <w:pPr>
        <w:ind w:firstLine="640" w:firstLineChars="200"/>
        <w:rPr>
          <w:rFonts w:hAnsi="宋体" w:cs="宋体"/>
          <w:color w:val="262626"/>
          <w:kern w:val="0"/>
        </w:rPr>
      </w:pPr>
      <w:r>
        <w:rPr>
          <w:rFonts w:hint="eastAsia" w:hAnsi="宋体" w:cs="宋体"/>
          <w:color w:val="262626"/>
          <w:kern w:val="0"/>
        </w:rPr>
        <w:t>3、维护社会稳定主动有为，突发事件及时处置</w:t>
      </w:r>
    </w:p>
    <w:p>
      <w:pPr>
        <w:spacing w:line="600" w:lineRule="exact"/>
        <w:ind w:firstLine="640" w:firstLineChars="200"/>
        <w:rPr>
          <w:rFonts w:hAnsi="宋体" w:cs="宋体"/>
          <w:color w:val="262626"/>
          <w:kern w:val="0"/>
        </w:rPr>
      </w:pPr>
      <w:r>
        <w:rPr>
          <w:rFonts w:hint="eastAsia" w:hAnsi="宋体" w:cs="宋体"/>
          <w:color w:val="262626"/>
          <w:kern w:val="0"/>
        </w:rPr>
        <w:t>成功处置社会面不稳定事件1起。及时化解伟创力技术（长沙）有限公司</w:t>
      </w:r>
      <w:r>
        <w:rPr>
          <w:rFonts w:hint="eastAsia" w:hAnsi="宋体" w:cs="宋体"/>
          <w:color w:val="262626"/>
          <w:kern w:val="0"/>
          <w:lang w:eastAsia="zh-CN"/>
        </w:rPr>
        <w:t>部分</w:t>
      </w:r>
      <w:bookmarkStart w:id="0" w:name="_GoBack"/>
      <w:bookmarkEnd w:id="0"/>
      <w:r>
        <w:rPr>
          <w:rFonts w:hint="eastAsia" w:hAnsi="宋体" w:cs="宋体"/>
          <w:color w:val="262626"/>
          <w:kern w:val="0"/>
        </w:rPr>
        <w:t>员工不满公司休假安排的矛盾。稳妥处置“9.15”、“10.15”、九九富达等群体性事件。快速、果断处置“1.19”铜官街道交通事故等多起致人死亡的重大交通事故。全年参与维护性施工46起，组织全区23个重大、重点项目风险评估，有效的维护了重点项目建设施工环境，为经济发展提供了坚强有力的保障。</w:t>
      </w:r>
    </w:p>
    <w:p>
      <w:pPr>
        <w:ind w:firstLine="640" w:firstLineChars="200"/>
        <w:rPr>
          <w:rFonts w:hAnsi="宋体" w:cs="宋体"/>
          <w:color w:val="262626"/>
          <w:kern w:val="0"/>
        </w:rPr>
      </w:pPr>
      <w:r>
        <w:rPr>
          <w:rFonts w:hint="eastAsia" w:hAnsi="宋体" w:cs="宋体"/>
          <w:color w:val="262626"/>
          <w:kern w:val="0"/>
        </w:rPr>
        <w:t>4、基础工作更加夯实，综治工作水平稳步提高。创新社会治理手段，通过保险补偿机制降低社会治安风险。推进枫桥经验，建立完善“交通”“医患”“物业”“婚姻”四大矛盾纠纷调解中心。</w:t>
      </w:r>
    </w:p>
    <w:p>
      <w:pPr>
        <w:ind w:firstLine="640" w:firstLineChars="200"/>
        <w:rPr>
          <w:rFonts w:hAnsi="宋体" w:cs="宋体"/>
          <w:color w:val="262626"/>
          <w:kern w:val="0"/>
        </w:rPr>
      </w:pPr>
      <w:r>
        <w:rPr>
          <w:rFonts w:hint="eastAsia" w:hAnsi="宋体" w:cs="宋体"/>
          <w:color w:val="262626"/>
          <w:kern w:val="0"/>
        </w:rPr>
        <w:t>5、服务经济发展，全力优化营商环境。出台《中共长沙市望城区委政法委员会关于建立执行工作协调联动机制的实施意见（试行）》，组织成立解决人民法院执行难工作协调联动联席会议机制，在园区设立巡回法庭，持续开展“送法进企业”系列活动，成立企业法律顾问团。营造安全稳定的社会环境、公平正义的法治环境。</w:t>
      </w:r>
    </w:p>
    <w:p>
      <w:pPr>
        <w:spacing w:line="560" w:lineRule="exact"/>
        <w:ind w:firstLine="627" w:firstLineChars="196"/>
        <w:rPr>
          <w:rFonts w:hAnsi="宋体" w:cs="宋体"/>
          <w:color w:val="262626"/>
          <w:kern w:val="0"/>
        </w:rPr>
      </w:pPr>
      <w:r>
        <w:rPr>
          <w:rFonts w:hint="eastAsia" w:hAnsi="宋体" w:cs="宋体"/>
          <w:color w:val="262626"/>
          <w:kern w:val="0"/>
        </w:rPr>
        <w:t>6、加强执法监督，树立司法公信力。严格落实防止干预司法“三个规定”要求，全年全区政法系统未发现任何单位和个人违反“三个规定”有关要求。区政法系统领导接待处理群众来访有效回应群众诉求，化解了社会矛盾。积极探索工作机制创新，不断探索实践律师参与化解和代理涉法涉诉信访工作机制创新。制订出台《重大案件庭审安保联动工作机制》</w:t>
      </w:r>
    </w:p>
    <w:p>
      <w:pPr>
        <w:spacing w:line="600" w:lineRule="exact"/>
        <w:ind w:firstLine="640" w:firstLineChars="200"/>
        <w:rPr>
          <w:rFonts w:hAnsi="宋体" w:cs="宋体"/>
          <w:color w:val="262626"/>
          <w:kern w:val="0"/>
        </w:rPr>
      </w:pPr>
      <w:r>
        <w:rPr>
          <w:rFonts w:hAnsi="宋体" w:cs="宋体"/>
          <w:color w:val="262626"/>
          <w:kern w:val="0"/>
        </w:rPr>
        <w:t>（三）社会满意度情况</w:t>
      </w:r>
    </w:p>
    <w:p>
      <w:pPr>
        <w:ind w:firstLine="640" w:firstLineChars="200"/>
        <w:rPr>
          <w:rFonts w:hAnsi="宋体" w:cs="宋体"/>
          <w:color w:val="262626"/>
          <w:kern w:val="0"/>
        </w:rPr>
      </w:pPr>
      <w:r>
        <w:rPr>
          <w:rFonts w:hint="eastAsia" w:hAnsi="宋体" w:cs="宋体"/>
          <w:color w:val="262626"/>
          <w:kern w:val="0"/>
        </w:rPr>
        <w:t>望城区代表湖南先进典型通过4月份扫黑除恶中央督导组的督导以及10月份中央督导组“回头看”，并得到中央督导组的肯定和认可。我区涉法涉诉工作在全市九区县市中名列第一。</w:t>
      </w:r>
    </w:p>
    <w:p>
      <w:pPr>
        <w:spacing w:line="600" w:lineRule="exact"/>
        <w:ind w:firstLine="640" w:firstLineChars="200"/>
        <w:rPr>
          <w:rFonts w:hAnsi="宋体" w:cs="宋体"/>
          <w:color w:val="262626"/>
          <w:kern w:val="0"/>
        </w:rPr>
      </w:pPr>
    </w:p>
    <w:p>
      <w:pPr>
        <w:spacing w:line="600" w:lineRule="exact"/>
        <w:ind w:firstLine="640" w:firstLineChars="200"/>
        <w:rPr>
          <w:rFonts w:hAnsi="宋体" w:cs="宋体"/>
          <w:color w:val="262626"/>
          <w:kern w:val="0"/>
        </w:rPr>
      </w:pPr>
      <w:r>
        <w:rPr>
          <w:rFonts w:hint="eastAsia" w:hAnsi="宋体" w:cs="宋体"/>
          <w:color w:val="262626"/>
          <w:kern w:val="0"/>
        </w:rPr>
        <w:t>六</w:t>
      </w:r>
      <w:r>
        <w:rPr>
          <w:rFonts w:hAnsi="宋体" w:cs="宋体"/>
          <w:color w:val="262626"/>
          <w:kern w:val="0"/>
        </w:rPr>
        <w:t>、部门（单位）整体支出绩效中存在问题及改进措施</w:t>
      </w:r>
    </w:p>
    <w:p>
      <w:pPr>
        <w:ind w:firstLine="640" w:firstLineChars="200"/>
        <w:rPr>
          <w:rFonts w:hAnsi="宋体" w:cs="宋体"/>
          <w:color w:val="262626"/>
          <w:kern w:val="0"/>
        </w:rPr>
      </w:pPr>
      <w:r>
        <w:rPr>
          <w:rFonts w:hint="eastAsia" w:hAnsi="宋体" w:cs="宋体"/>
          <w:color w:val="262626"/>
          <w:kern w:val="0"/>
        </w:rPr>
        <w:t>1.持续推进扫黑除恶工作。一是针对十大行业领域乱象开展专项整治行动。着力铲除黑恶势力滋生土壤，维护良好的社会秩序。二是持续深入打财打伞。重点清查“保护伞”惩处情况，实施精准打击。完善重大案件会商机制，建立完善黑恶财产查控平台，让不义之财无处藏身。三是建立健全长效机制。完善扫黑除恶专项斗争领导小组及其办公室工作机制，健全职能体系，实行常态化运行。</w:t>
      </w:r>
    </w:p>
    <w:p>
      <w:pPr>
        <w:widowControl/>
        <w:tabs>
          <w:tab w:val="right" w:pos="8460"/>
        </w:tabs>
        <w:ind w:firstLine="640" w:firstLineChars="200"/>
        <w:rPr>
          <w:rFonts w:hAnsi="宋体" w:cs="宋体"/>
          <w:color w:val="262626"/>
          <w:kern w:val="0"/>
        </w:rPr>
      </w:pPr>
      <w:r>
        <w:rPr>
          <w:rFonts w:hint="eastAsia" w:hAnsi="宋体" w:cs="宋体"/>
          <w:color w:val="262626"/>
          <w:kern w:val="0"/>
        </w:rPr>
        <w:t>2.确保全区社会大局持续稳定。一是加强情报研判。以区、镇（街）、村（社区）、组四级综治维稳队伍为基础，铺设一张覆盖全区的情报网。二是压实维稳工作责任。按照“属地管理、分级负责”和“谁主管、谁负责”的原则，清晰划分维稳责任。三是集中开展风险排查和专项整治行动。组织各街镇、区直相关部门开展大排查、大管控、大化解专项行动。四是高效防突处突。坚持“预防为主、预案先行、稳妥高效”的原则，积极稳妥的应对和处置各类突发事件。</w:t>
      </w:r>
    </w:p>
    <w:p>
      <w:pPr>
        <w:widowControl/>
        <w:tabs>
          <w:tab w:val="right" w:pos="8460"/>
        </w:tabs>
        <w:spacing w:line="560" w:lineRule="exact"/>
        <w:ind w:firstLine="640" w:firstLineChars="200"/>
        <w:rPr>
          <w:rFonts w:hAnsi="宋体" w:cs="宋体"/>
          <w:color w:val="262626"/>
          <w:kern w:val="0"/>
        </w:rPr>
      </w:pPr>
      <w:r>
        <w:rPr>
          <w:rFonts w:hint="eastAsia" w:hAnsi="宋体" w:cs="宋体"/>
          <w:color w:val="262626"/>
          <w:kern w:val="0"/>
        </w:rPr>
        <w:t>3.全力开创平安建设工作新局面。一是把牢方向，推进基层基础建设。坚持发展“枫桥经验”，夯实基层基础，努力做到“小事不出村、大事不出镇、矛盾不上交”。推动加强综治中心建设、完善城乡基层社会治理体系、健全基础要素管控措施，提升基层社会治理现代化水平。二是及时化解，维护基层稳定。组织各街镇、区直相关部门开展大排查、大管控、大化解专项行动，对摸排出来的问题，集中开展专项治理，严防敏感案事件和群体性事件的发生。三是综合治理，建设更高水平法治望城。深入贯彻落实全国市域社会治理现代化工作视频会议精神，着力抓好治安防范、重点管控、平安创建等重点工作，推进“雪亮工程”建设，加强社会治理创新，坚持加强重点人员、重点部位和群众反映强烈问题的综合治理，深入开展更高水平平安建设，推动平安建设工作再上新台阶。</w:t>
      </w:r>
    </w:p>
    <w:p>
      <w:pPr>
        <w:widowControl/>
        <w:tabs>
          <w:tab w:val="right" w:pos="8460"/>
        </w:tabs>
        <w:ind w:firstLine="640" w:firstLineChars="200"/>
        <w:rPr>
          <w:rFonts w:hAnsi="宋体" w:cs="宋体"/>
          <w:color w:val="262626"/>
          <w:kern w:val="0"/>
        </w:rPr>
      </w:pPr>
      <w:r>
        <w:rPr>
          <w:rFonts w:hint="eastAsia" w:hAnsi="宋体" w:cs="宋体"/>
          <w:color w:val="262626"/>
          <w:kern w:val="0"/>
        </w:rPr>
        <w:t>4.持续加强执法监督，维护社会公平正义。一是强化监督。提升案件评查工作精准性和专业性，进一步提升政法干警执法司法能力。二是加强协调。争取省市支持，落实属地稳控责任，进一步强化涉法涉诉和信访维稳工作协同部署。三是落实救助。分阶段有序开展司法救助工作，确保精准及时救助，让群众切实感受司法工作的温情、温度。四是加强学习。学习借鉴其他地区执法监督暨涉法涉诉信访工作先进工作经验，进一步提升工作效能。</w:t>
      </w:r>
    </w:p>
    <w:p>
      <w:pPr>
        <w:adjustRightInd w:val="0"/>
        <w:snapToGrid w:val="0"/>
        <w:spacing w:line="600" w:lineRule="exact"/>
        <w:ind w:firstLine="640" w:firstLineChars="200"/>
        <w:jc w:val="left"/>
        <w:rPr>
          <w:rFonts w:hAnsi="宋体" w:cs="宋体"/>
          <w:color w:val="262626"/>
          <w:kern w:val="0"/>
        </w:rPr>
      </w:pPr>
      <w:r>
        <w:rPr>
          <w:rFonts w:hint="eastAsia" w:hAnsi="宋体" w:cs="宋体"/>
          <w:color w:val="262626"/>
          <w:kern w:val="0"/>
        </w:rPr>
        <w:t>5.持续加强国安教育，维护区内政治安全。一是做好国安教育。持续做好“4.15”、“11.1”国家安全宣传工作。二是夯实基层国安工作。切实做好、做实基层国家安全人民防线工作。三是加大重点人员的管控。落实好邪教重点人员“六包一”防控措施，确保实现“三个零”指标和“五个不发生”。四是做好新增邪教人员的及时管控。加强对外地转入、本地新增的邪教人员的及时登记建档和日常防控工作。</w:t>
      </w:r>
    </w:p>
    <w:p>
      <w:pPr>
        <w:adjustRightInd w:val="0"/>
        <w:snapToGrid w:val="0"/>
        <w:spacing w:line="600" w:lineRule="exact"/>
        <w:jc w:val="right"/>
        <w:rPr>
          <w:rFonts w:ascii="Times New Roman" w:hAnsi="Times New Roman"/>
          <w:szCs w:val="21"/>
        </w:rPr>
      </w:pPr>
    </w:p>
    <w:p>
      <w:pPr>
        <w:adjustRightInd w:val="0"/>
        <w:snapToGrid w:val="0"/>
        <w:spacing w:line="600" w:lineRule="exact"/>
        <w:jc w:val="right"/>
        <w:rPr>
          <w:rFonts w:ascii="Times New Roman" w:hAnsi="Times New Roman"/>
          <w:szCs w:val="21"/>
        </w:rPr>
      </w:pPr>
    </w:p>
    <w:p>
      <w:pPr>
        <w:adjustRightInd w:val="0"/>
        <w:snapToGrid w:val="0"/>
        <w:spacing w:line="600" w:lineRule="exact"/>
        <w:jc w:val="right"/>
        <w:rPr>
          <w:rFonts w:ascii="Times New Roman" w:hAnsi="Times New Roman"/>
          <w:szCs w:val="21"/>
        </w:rPr>
      </w:pPr>
    </w:p>
    <w:p>
      <w:pPr>
        <w:adjustRightInd w:val="0"/>
        <w:snapToGrid w:val="0"/>
        <w:spacing w:line="600" w:lineRule="exact"/>
        <w:jc w:val="right"/>
        <w:rPr>
          <w:rFonts w:ascii="Times New Roman" w:hAnsi="Times New Roman"/>
          <w:szCs w:val="21"/>
        </w:rPr>
      </w:pPr>
      <w:r>
        <w:rPr>
          <w:rFonts w:hint="eastAsia" w:ascii="Times New Roman" w:hAnsi="Times New Roman"/>
          <w:szCs w:val="21"/>
        </w:rPr>
        <w:t>望城区委政法委</w:t>
      </w:r>
    </w:p>
    <w:p>
      <w:pPr>
        <w:adjustRightInd w:val="0"/>
        <w:snapToGrid w:val="0"/>
        <w:spacing w:line="600" w:lineRule="exact"/>
        <w:jc w:val="right"/>
        <w:rPr>
          <w:rFonts w:ascii="Times New Roman" w:hAnsi="Times New Roman" w:eastAsia="方正小标宋简体"/>
          <w:bCs/>
          <w:color w:val="000000"/>
          <w:kern w:val="0"/>
          <w:sz w:val="36"/>
          <w:szCs w:val="36"/>
        </w:rPr>
      </w:pPr>
      <w:r>
        <w:rPr>
          <w:rFonts w:hint="eastAsia" w:ascii="Times New Roman" w:hAnsi="Times New Roman"/>
          <w:szCs w:val="21"/>
        </w:rPr>
        <w:t>2</w:t>
      </w:r>
      <w:r>
        <w:rPr>
          <w:rFonts w:ascii="Times New Roman" w:hAnsi="Times New Roman"/>
          <w:szCs w:val="21"/>
        </w:rPr>
        <w:t>020</w:t>
      </w:r>
      <w:r>
        <w:rPr>
          <w:rFonts w:hint="eastAsia" w:ascii="Times New Roman" w:hAnsi="Times New Roman"/>
          <w:szCs w:val="21"/>
        </w:rPr>
        <w:t>年4月</w:t>
      </w:r>
      <w:r>
        <w:rPr>
          <w:rFonts w:ascii="Times New Roman" w:hAnsi="Times New Roman"/>
          <w:szCs w:val="21"/>
        </w:rPr>
        <w:t>8</w:t>
      </w:r>
      <w:r>
        <w:rPr>
          <w:rFonts w:hint="eastAsia" w:ascii="Times New Roman" w:hAnsi="Times New Roman"/>
          <w:szCs w:val="21"/>
        </w:rPr>
        <w:t>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_GBK">
    <w:altName w:val="微软雅黑"/>
    <w:panose1 w:val="00000000000000000000"/>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251F4E"/>
    <w:multiLevelType w:val="multilevel"/>
    <w:tmpl w:val="6C251F4E"/>
    <w:lvl w:ilvl="0" w:tentative="0">
      <w:start w:val="1"/>
      <w:numFmt w:val="japaneseCounting"/>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3YTlhMTkzNTU0OWNmMmJmNDEyMGYxMjBmZjY4ODUifQ=="/>
  </w:docVars>
  <w:rsids>
    <w:rsidRoot w:val="004F4491"/>
    <w:rsid w:val="000A5E56"/>
    <w:rsid w:val="00292ACD"/>
    <w:rsid w:val="002A0902"/>
    <w:rsid w:val="002F53B2"/>
    <w:rsid w:val="0033396A"/>
    <w:rsid w:val="00341C38"/>
    <w:rsid w:val="00382BA0"/>
    <w:rsid w:val="00483198"/>
    <w:rsid w:val="004F2550"/>
    <w:rsid w:val="004F4491"/>
    <w:rsid w:val="004F4BAC"/>
    <w:rsid w:val="004F7BBF"/>
    <w:rsid w:val="005656EB"/>
    <w:rsid w:val="00612FE1"/>
    <w:rsid w:val="00722CE6"/>
    <w:rsid w:val="007834B2"/>
    <w:rsid w:val="00843984"/>
    <w:rsid w:val="00876B1D"/>
    <w:rsid w:val="00901E8A"/>
    <w:rsid w:val="00933224"/>
    <w:rsid w:val="00953362"/>
    <w:rsid w:val="009E7D08"/>
    <w:rsid w:val="00A438A8"/>
    <w:rsid w:val="00A50446"/>
    <w:rsid w:val="00AF38A2"/>
    <w:rsid w:val="00AF533C"/>
    <w:rsid w:val="00AF7237"/>
    <w:rsid w:val="00C00A8D"/>
    <w:rsid w:val="00C24428"/>
    <w:rsid w:val="00CC1B30"/>
    <w:rsid w:val="00D65421"/>
    <w:rsid w:val="00E25A03"/>
    <w:rsid w:val="00F33C4A"/>
    <w:rsid w:val="00F86792"/>
    <w:rsid w:val="00FC5CFB"/>
    <w:rsid w:val="304C6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92D69-3831-41A1-9396-4D11DFCDBFB7}">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5796</Words>
  <Characters>6232</Characters>
  <Lines>46</Lines>
  <Paragraphs>13</Paragraphs>
  <TotalTime>0</TotalTime>
  <ScaleCrop>false</ScaleCrop>
  <LinksUpToDate>false</LinksUpToDate>
  <CharactersWithSpaces>6258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2020-03-29T03:30:00Z</dcterms:created>
  <dc:creator>丁 启骏</dc:creator>
  <cp:lastModifiedBy>姣^o^</cp:lastModifiedBy>
  <dcterms:modified xsi:type="dcterms:W3CDTF">2022-06-15T06:23:43Z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833FDB73CC22496EAB4A9DD3EB71CE31</vt:lpwstr>
  </property>
</Properties>
</file>