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5"/>
        <w:ind w:firstLine="880" w:firstLineChars="200"/>
        <w:jc w:val="both"/>
        <w:rPr>
          <w:sz w:val="44"/>
          <w:szCs w:val="44"/>
        </w:rPr>
      </w:pPr>
      <w:r>
        <w:rPr>
          <w:rFonts w:hint="eastAsia"/>
          <w:sz w:val="44"/>
          <w:szCs w:val="44"/>
        </w:rPr>
        <w:t>2019年度</w:t>
      </w:r>
      <w:r>
        <w:rPr>
          <w:rFonts w:hint="eastAsia"/>
          <w:sz w:val="44"/>
          <w:szCs w:val="44"/>
          <w:lang w:eastAsia="zh-CN"/>
        </w:rPr>
        <w:t>望城区总工会</w:t>
      </w:r>
      <w:r>
        <w:rPr>
          <w:rFonts w:hint="eastAsia"/>
          <w:sz w:val="44"/>
          <w:szCs w:val="44"/>
        </w:rPr>
        <w:t>部门决算</w:t>
      </w:r>
    </w:p>
    <w:p>
      <w:pPr>
        <w:pStyle w:val="15"/>
        <w:spacing w:line="520" w:lineRule="exact"/>
        <w:ind w:firstLine="2640" w:firstLineChars="600"/>
        <w:jc w:val="both"/>
        <w:rPr>
          <w:sz w:val="44"/>
          <w:szCs w:val="44"/>
        </w:rPr>
      </w:pPr>
      <w:r>
        <w:rPr>
          <w:rFonts w:hint="eastAsia"/>
          <w:sz w:val="44"/>
          <w:szCs w:val="44"/>
        </w:rPr>
        <w:t>目录</w:t>
      </w:r>
    </w:p>
    <w:p>
      <w:pPr>
        <w:pStyle w:val="15"/>
        <w:spacing w:line="520" w:lineRule="exact"/>
        <w:rPr>
          <w:rFonts w:ascii="仿宋_GB2312" w:hAnsi="仿宋_GB2312" w:cs="仿宋_GB2312"/>
          <w:b/>
          <w:sz w:val="28"/>
          <w:szCs w:val="28"/>
        </w:rPr>
      </w:pPr>
      <w:r>
        <w:rPr>
          <w:rFonts w:hint="eastAsia"/>
          <w:b/>
          <w:sz w:val="28"/>
          <w:szCs w:val="28"/>
        </w:rPr>
        <w:t>第一部分</w:t>
      </w:r>
      <w:r>
        <w:rPr>
          <w:rFonts w:hint="eastAsia"/>
          <w:b/>
          <w:sz w:val="28"/>
          <w:szCs w:val="28"/>
          <w:lang w:eastAsia="zh-CN"/>
        </w:rPr>
        <w:t>望城区总工会</w:t>
      </w:r>
      <w:r>
        <w:rPr>
          <w:rFonts w:hint="eastAsia"/>
          <w:b/>
          <w:sz w:val="28"/>
          <w:szCs w:val="28"/>
        </w:rPr>
        <w:t>单位概况</w:t>
      </w:r>
    </w:p>
    <w:p>
      <w:pPr>
        <w:pStyle w:val="15"/>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一、部门职责</w:t>
      </w:r>
    </w:p>
    <w:p>
      <w:pPr>
        <w:pStyle w:val="15"/>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二、机构设置</w:t>
      </w:r>
    </w:p>
    <w:p>
      <w:pPr>
        <w:pStyle w:val="15"/>
        <w:spacing w:line="520" w:lineRule="exact"/>
        <w:rPr>
          <w:rFonts w:ascii="仿宋_GB2312" w:hAnsi="仿宋_GB2312" w:cs="仿宋_GB2312"/>
          <w:b/>
          <w:sz w:val="28"/>
          <w:szCs w:val="28"/>
        </w:rPr>
      </w:pPr>
      <w:r>
        <w:rPr>
          <w:rFonts w:hint="eastAsia" w:hAnsi="仿宋_GB2312"/>
          <w:b/>
          <w:sz w:val="28"/>
          <w:szCs w:val="28"/>
        </w:rPr>
        <w:t>第二部分</w:t>
      </w:r>
      <w:r>
        <w:rPr>
          <w:rFonts w:hAnsi="仿宋_GB2312"/>
          <w:b/>
          <w:sz w:val="28"/>
          <w:szCs w:val="28"/>
        </w:rPr>
        <w:t>2019</w:t>
      </w:r>
      <w:r>
        <w:rPr>
          <w:rFonts w:hint="eastAsia" w:hAnsi="仿宋_GB2312"/>
          <w:b/>
          <w:sz w:val="28"/>
          <w:szCs w:val="28"/>
        </w:rPr>
        <w:t>年度部门决算表</w:t>
      </w:r>
    </w:p>
    <w:p>
      <w:pPr>
        <w:pStyle w:val="15"/>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一、收入支出决算总表</w:t>
      </w:r>
    </w:p>
    <w:p>
      <w:pPr>
        <w:pStyle w:val="15"/>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二、收入决算表</w:t>
      </w:r>
    </w:p>
    <w:p>
      <w:pPr>
        <w:pStyle w:val="15"/>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三、支出决算表</w:t>
      </w:r>
    </w:p>
    <w:p>
      <w:pPr>
        <w:pStyle w:val="15"/>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四、财政拨款收入支出决算总表</w:t>
      </w:r>
    </w:p>
    <w:p>
      <w:pPr>
        <w:pStyle w:val="15"/>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五、一般公共预算财政拨款支出决算表</w:t>
      </w:r>
    </w:p>
    <w:p>
      <w:pPr>
        <w:pStyle w:val="15"/>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六、一般公共预算财政拨款基本支出决算表</w:t>
      </w:r>
    </w:p>
    <w:p>
      <w:pPr>
        <w:pStyle w:val="15"/>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七、一般公共预算财政拨款“三公”经费支出决算表</w:t>
      </w:r>
    </w:p>
    <w:p>
      <w:pPr>
        <w:pStyle w:val="15"/>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八、政府性基金预算财政拨款收入支出决算表</w:t>
      </w:r>
    </w:p>
    <w:p>
      <w:pPr>
        <w:pStyle w:val="15"/>
        <w:spacing w:line="520" w:lineRule="exact"/>
        <w:rPr>
          <w:rFonts w:ascii="仿宋_GB2312" w:hAnsi="仿宋_GB2312" w:cs="仿宋_GB2312"/>
          <w:b/>
          <w:sz w:val="28"/>
          <w:szCs w:val="28"/>
        </w:rPr>
      </w:pPr>
      <w:r>
        <w:rPr>
          <w:rFonts w:hint="eastAsia" w:hAnsi="仿宋_GB2312"/>
          <w:b/>
          <w:sz w:val="28"/>
          <w:szCs w:val="28"/>
        </w:rPr>
        <w:t>第三部分</w:t>
      </w:r>
      <w:r>
        <w:rPr>
          <w:rFonts w:hAnsi="仿宋_GB2312"/>
          <w:b/>
          <w:sz w:val="28"/>
          <w:szCs w:val="28"/>
        </w:rPr>
        <w:t>2019</w:t>
      </w:r>
      <w:r>
        <w:rPr>
          <w:rFonts w:hint="eastAsia" w:hAnsi="仿宋_GB2312"/>
          <w:b/>
          <w:sz w:val="28"/>
          <w:szCs w:val="28"/>
        </w:rPr>
        <w:t>年度部门决算情况说明</w:t>
      </w:r>
    </w:p>
    <w:p>
      <w:pPr>
        <w:pStyle w:val="15"/>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一、收入支出决算总体情况说明</w:t>
      </w:r>
    </w:p>
    <w:p>
      <w:pPr>
        <w:spacing w:line="520" w:lineRule="exact"/>
        <w:ind w:firstLine="700" w:firstLineChars="250"/>
        <w:jc w:val="left"/>
        <w:rPr>
          <w:rFonts w:ascii="仿宋_GB2312" w:hAnsi="仿宋_GB2312" w:cs="仿宋_GB2312"/>
          <w:sz w:val="28"/>
          <w:szCs w:val="28"/>
        </w:rPr>
      </w:pPr>
      <w:r>
        <w:rPr>
          <w:rFonts w:ascii="仿宋_GB2312" w:hAnsi="仿宋_GB2312" w:cs="仿宋_GB2312"/>
          <w:sz w:val="28"/>
          <w:szCs w:val="28"/>
        </w:rPr>
        <w:t>二、收入决算情况说明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三、支出决算情况说明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四、财政拨款收入支出决算总体情况说明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五、一般公共预算财政拨款支出决算情况说明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六、一般公共预算财政拨款基本支出决算情况说明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七、一般公共预算财政拨款三公经费支出决算情况说明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八</w:t>
      </w:r>
      <w:r>
        <w:rPr>
          <w:rFonts w:ascii="仿宋_GB2312" w:hAnsi="仿宋_GB2312" w:cs="仿宋_GB2312"/>
          <w:color w:val="000000"/>
          <w:kern w:val="0"/>
          <w:sz w:val="28"/>
          <w:szCs w:val="28"/>
        </w:rPr>
        <w:t>、</w:t>
      </w:r>
      <w:r>
        <w:rPr>
          <w:rFonts w:hint="eastAsia" w:ascii="仿宋_GB2312" w:hAnsi="仿宋_GB2312" w:cs="仿宋_GB2312"/>
          <w:color w:val="000000"/>
          <w:kern w:val="0"/>
          <w:sz w:val="28"/>
          <w:szCs w:val="28"/>
        </w:rPr>
        <w:t>政府性基金预算收入支出决算情况</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九</w:t>
      </w:r>
      <w:r>
        <w:rPr>
          <w:rFonts w:ascii="仿宋_GB2312" w:hAnsi="仿宋_GB2312" w:cs="仿宋_GB2312"/>
          <w:color w:val="000000"/>
          <w:kern w:val="0"/>
          <w:sz w:val="28"/>
          <w:szCs w:val="28"/>
        </w:rPr>
        <w:t>、预算绩效情况说明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w:t>
      </w:r>
      <w:r>
        <w:rPr>
          <w:rFonts w:ascii="仿宋_GB2312" w:hAnsi="仿宋_GB2312" w:cs="仿宋_GB2312"/>
          <w:color w:val="000000"/>
          <w:kern w:val="0"/>
          <w:sz w:val="28"/>
          <w:szCs w:val="28"/>
        </w:rPr>
        <w:t>、其他重要事项情况说明</w:t>
      </w:r>
    </w:p>
    <w:p>
      <w:pPr>
        <w:autoSpaceDE w:val="0"/>
        <w:autoSpaceDN w:val="0"/>
        <w:adjustRightInd w:val="0"/>
        <w:spacing w:line="520" w:lineRule="exact"/>
        <w:jc w:val="left"/>
        <w:rPr>
          <w:rFonts w:ascii="黑体" w:hAnsi="黑体" w:eastAsia="黑体" w:cs="仿宋_GB2312"/>
          <w:b/>
          <w:color w:val="000000"/>
          <w:kern w:val="0"/>
          <w:sz w:val="28"/>
          <w:szCs w:val="28"/>
        </w:rPr>
      </w:pPr>
      <w:r>
        <w:rPr>
          <w:rFonts w:ascii="黑体" w:hAnsi="黑体" w:eastAsia="黑体" w:cs="黑体"/>
          <w:b/>
          <w:color w:val="000000"/>
          <w:kern w:val="0"/>
          <w:sz w:val="28"/>
          <w:szCs w:val="28"/>
        </w:rPr>
        <w:t>第四部分名词解释</w:t>
      </w:r>
    </w:p>
    <w:p>
      <w:pPr>
        <w:pStyle w:val="8"/>
        <w:widowControl/>
        <w:spacing w:line="510" w:lineRule="atLeast"/>
        <w:ind w:firstLine="640" w:firstLineChars="200"/>
        <w:jc w:val="both"/>
        <w:rPr>
          <w:rFonts w:hint="default" w:ascii="楷体_GB2312" w:hAnsi="Times New Roman" w:eastAsia="楷体_GB2312"/>
          <w:b/>
          <w:color w:val="auto"/>
          <w:kern w:val="2"/>
          <w:sz w:val="32"/>
          <w:szCs w:val="32"/>
        </w:rPr>
      </w:pPr>
      <w:r>
        <w:rPr>
          <w:rFonts w:hint="default" w:ascii="Times New Roman" w:hAnsi="Times New Roman" w:eastAsia="仿宋_GB2312"/>
          <w:color w:val="auto"/>
          <w:kern w:val="2"/>
          <w:sz w:val="32"/>
          <w:szCs w:val="32"/>
        </w:rPr>
        <w:t>　　</w:t>
      </w:r>
      <w:r>
        <w:rPr>
          <w:rFonts w:ascii="楷体_GB2312" w:hAnsi="Times New Roman" w:eastAsia="楷体_GB2312"/>
          <w:b/>
          <w:color w:val="auto"/>
          <w:kern w:val="2"/>
          <w:sz w:val="32"/>
          <w:szCs w:val="32"/>
        </w:rPr>
        <w:t>（一）</w:t>
      </w:r>
      <w:r>
        <w:rPr>
          <w:rFonts w:hint="default" w:ascii="楷体_GB2312" w:hAnsi="Times New Roman" w:eastAsia="楷体_GB2312"/>
          <w:b/>
          <w:color w:val="auto"/>
          <w:kern w:val="2"/>
          <w:sz w:val="32"/>
          <w:szCs w:val="32"/>
        </w:rPr>
        <w:t>机关运行经费 </w:t>
      </w:r>
    </w:p>
    <w:p>
      <w:pPr>
        <w:pStyle w:val="8"/>
        <w:widowControl/>
        <w:spacing w:line="510" w:lineRule="atLeast"/>
        <w:ind w:firstLine="1285" w:firstLineChars="400"/>
        <w:jc w:val="both"/>
        <w:rPr>
          <w:rFonts w:hint="default" w:ascii="楷体_GB2312" w:hAnsi="Times New Roman" w:eastAsia="楷体_GB2312"/>
          <w:b/>
          <w:color w:val="auto"/>
          <w:kern w:val="2"/>
          <w:sz w:val="32"/>
          <w:szCs w:val="32"/>
        </w:rPr>
      </w:pPr>
      <w:r>
        <w:rPr>
          <w:rFonts w:ascii="楷体_GB2312" w:hAnsi="Times New Roman" w:eastAsia="楷体_GB2312"/>
          <w:b/>
          <w:color w:val="auto"/>
          <w:kern w:val="2"/>
          <w:sz w:val="32"/>
          <w:szCs w:val="32"/>
        </w:rPr>
        <w:t>（二）</w:t>
      </w:r>
      <w:r>
        <w:rPr>
          <w:rFonts w:hint="default" w:ascii="楷体_GB2312" w:hAnsi="Times New Roman" w:eastAsia="楷体_GB2312"/>
          <w:b/>
          <w:color w:val="auto"/>
          <w:kern w:val="2"/>
          <w:sz w:val="32"/>
          <w:szCs w:val="32"/>
        </w:rPr>
        <w:t>“三公”经费</w:t>
      </w:r>
    </w:p>
    <w:p>
      <w:pPr>
        <w:spacing w:line="520" w:lineRule="exact"/>
        <w:jc w:val="left"/>
        <w:rPr>
          <w:rFonts w:ascii="黑体" w:hAnsi="黑体" w:eastAsia="黑体" w:cs="仿宋_GB2312"/>
          <w:b/>
          <w:color w:val="000000"/>
          <w:kern w:val="0"/>
          <w:sz w:val="28"/>
          <w:szCs w:val="28"/>
        </w:rPr>
      </w:pPr>
      <w:r>
        <w:rPr>
          <w:rFonts w:ascii="黑体" w:hAnsi="黑体" w:eastAsia="黑体" w:cs="黑体"/>
          <w:b/>
          <w:color w:val="000000"/>
          <w:kern w:val="0"/>
          <w:sz w:val="28"/>
          <w:szCs w:val="28"/>
        </w:rPr>
        <w:t>第五部分附件</w:t>
      </w:r>
    </w:p>
    <w:p>
      <w:pPr>
        <w:jc w:val="center"/>
        <w:rPr>
          <w:sz w:val="72"/>
          <w:szCs w:val="72"/>
        </w:rPr>
      </w:pPr>
    </w:p>
    <w:p>
      <w:pPr>
        <w:jc w:val="center"/>
        <w:rPr>
          <w:sz w:val="72"/>
          <w:szCs w:val="72"/>
        </w:rPr>
      </w:pPr>
    </w:p>
    <w:p>
      <w:pPr>
        <w:jc w:val="center"/>
        <w:rPr>
          <w:sz w:val="72"/>
          <w:szCs w:val="72"/>
        </w:rPr>
      </w:pPr>
    </w:p>
    <w:p>
      <w:pPr>
        <w:jc w:val="center"/>
        <w:rPr>
          <w:sz w:val="72"/>
          <w:szCs w:val="72"/>
        </w:rPr>
      </w:pPr>
    </w:p>
    <w:p>
      <w:pPr>
        <w:rPr>
          <w:sz w:val="72"/>
          <w:szCs w:val="72"/>
        </w:rPr>
      </w:pPr>
    </w:p>
    <w:p>
      <w:pPr>
        <w:pStyle w:val="15"/>
        <w:jc w:val="center"/>
        <w:rPr>
          <w:rFonts w:hint="eastAsia"/>
          <w:sz w:val="84"/>
          <w:szCs w:val="84"/>
        </w:rPr>
      </w:pPr>
    </w:p>
    <w:p>
      <w:pPr>
        <w:pStyle w:val="15"/>
        <w:jc w:val="center"/>
        <w:rPr>
          <w:rFonts w:hint="eastAsia"/>
          <w:sz w:val="84"/>
          <w:szCs w:val="84"/>
        </w:rPr>
      </w:pPr>
    </w:p>
    <w:p>
      <w:pPr>
        <w:pStyle w:val="15"/>
        <w:jc w:val="center"/>
        <w:rPr>
          <w:rFonts w:hint="eastAsia"/>
          <w:sz w:val="84"/>
          <w:szCs w:val="84"/>
        </w:rPr>
      </w:pPr>
    </w:p>
    <w:p>
      <w:pPr>
        <w:pStyle w:val="15"/>
        <w:jc w:val="center"/>
        <w:rPr>
          <w:rFonts w:hint="eastAsia"/>
          <w:sz w:val="84"/>
          <w:szCs w:val="84"/>
        </w:rPr>
      </w:pPr>
    </w:p>
    <w:p>
      <w:pPr>
        <w:pStyle w:val="15"/>
        <w:jc w:val="center"/>
        <w:rPr>
          <w:rFonts w:hint="eastAsia"/>
          <w:sz w:val="84"/>
          <w:szCs w:val="84"/>
        </w:rPr>
      </w:pPr>
    </w:p>
    <w:p>
      <w:pPr>
        <w:pStyle w:val="15"/>
        <w:jc w:val="center"/>
        <w:rPr>
          <w:rFonts w:hint="eastAsia"/>
          <w:sz w:val="84"/>
          <w:szCs w:val="84"/>
        </w:rPr>
      </w:pPr>
    </w:p>
    <w:p>
      <w:pPr>
        <w:spacing w:line="560" w:lineRule="exact"/>
        <w:ind w:left="0" w:leftChars="0" w:firstLine="0" w:firstLineChars="0"/>
        <w:jc w:val="center"/>
        <w:rPr>
          <w:rFonts w:ascii="方正小标宋简体" w:hAnsi="方正小标宋简体"/>
          <w:b/>
          <w:bCs/>
          <w:sz w:val="48"/>
          <w:szCs w:val="48"/>
        </w:rPr>
      </w:pPr>
    </w:p>
    <w:p>
      <w:pPr>
        <w:spacing w:line="560" w:lineRule="exact"/>
        <w:ind w:left="0" w:leftChars="0" w:firstLine="0" w:firstLineChars="0"/>
        <w:jc w:val="center"/>
        <w:rPr>
          <w:rFonts w:ascii="方正小标宋简体" w:hAnsi="方正小标宋简体"/>
          <w:b/>
          <w:bCs/>
          <w:sz w:val="48"/>
          <w:szCs w:val="48"/>
        </w:rPr>
      </w:pPr>
      <w:r>
        <w:rPr>
          <w:rFonts w:ascii="方正小标宋简体" w:hAnsi="方正小标宋简体"/>
          <w:b/>
          <w:bCs/>
          <w:sz w:val="48"/>
          <w:szCs w:val="48"/>
        </w:rPr>
        <w:t>总工会201</w:t>
      </w:r>
      <w:r>
        <w:rPr>
          <w:rFonts w:hint="eastAsia" w:ascii="方正小标宋简体" w:hAnsi="方正小标宋简体"/>
          <w:b/>
          <w:bCs/>
          <w:sz w:val="48"/>
          <w:szCs w:val="48"/>
          <w:lang w:val="en-US" w:eastAsia="zh-CN"/>
        </w:rPr>
        <w:t>9</w:t>
      </w:r>
      <w:r>
        <w:rPr>
          <w:rFonts w:ascii="方正小标宋简体" w:hAnsi="方正小标宋简体"/>
          <w:b/>
          <w:bCs/>
          <w:sz w:val="48"/>
          <w:szCs w:val="48"/>
        </w:rPr>
        <w:t>年部门决算说明</w:t>
      </w:r>
    </w:p>
    <w:p>
      <w:pPr>
        <w:pStyle w:val="15"/>
        <w:jc w:val="both"/>
        <w:rPr>
          <w:sz w:val="32"/>
          <w:szCs w:val="32"/>
        </w:rPr>
      </w:pPr>
      <w:r>
        <w:rPr>
          <w:rFonts w:hint="eastAsia"/>
          <w:sz w:val="32"/>
          <w:szCs w:val="32"/>
        </w:rPr>
        <w:t>第一部分</w:t>
      </w:r>
      <w:r>
        <w:rPr>
          <w:sz w:val="32"/>
          <w:szCs w:val="32"/>
        </w:rPr>
        <w:t xml:space="preserve"> </w:t>
      </w:r>
      <w:r>
        <w:rPr>
          <w:rFonts w:hint="eastAsia"/>
          <w:sz w:val="32"/>
          <w:szCs w:val="32"/>
          <w:lang w:eastAsia="zh-CN"/>
        </w:rPr>
        <w:t>望城区总工会</w:t>
      </w:r>
      <w:r>
        <w:rPr>
          <w:rFonts w:hint="eastAsia"/>
          <w:sz w:val="32"/>
          <w:szCs w:val="32"/>
        </w:rPr>
        <w:t>单位概况</w:t>
      </w:r>
    </w:p>
    <w:p>
      <w:pPr>
        <w:widowControl/>
        <w:spacing w:line="600" w:lineRule="exact"/>
        <w:jc w:val="left"/>
        <w:rPr>
          <w:rFonts w:eastAsia="黑体"/>
          <w:bCs/>
          <w:kern w:val="0"/>
          <w:sz w:val="32"/>
          <w:szCs w:val="32"/>
        </w:rPr>
      </w:pPr>
      <w:r>
        <w:rPr>
          <w:rFonts w:eastAsia="黑体"/>
          <w:bCs/>
          <w:kern w:val="0"/>
          <w:sz w:val="32"/>
          <w:szCs w:val="32"/>
        </w:rPr>
        <w:t>一、部门基本概况</w:t>
      </w:r>
    </w:p>
    <w:p>
      <w:pPr>
        <w:widowControl/>
        <w:spacing w:line="600" w:lineRule="exact"/>
        <w:ind w:firstLine="627" w:firstLineChars="196"/>
        <w:jc w:val="left"/>
        <w:rPr>
          <w:rFonts w:eastAsia="仿宋_GB2312"/>
          <w:sz w:val="32"/>
          <w:szCs w:val="32"/>
        </w:rPr>
      </w:pPr>
      <w:r>
        <w:rPr>
          <w:rFonts w:eastAsia="仿宋_GB2312"/>
          <w:sz w:val="32"/>
          <w:szCs w:val="32"/>
        </w:rPr>
        <w:t>1、职能职责</w:t>
      </w:r>
    </w:p>
    <w:p>
      <w:pPr>
        <w:widowControl/>
        <w:spacing w:line="600" w:lineRule="exact"/>
        <w:ind w:firstLine="627" w:firstLineChars="196"/>
        <w:jc w:val="left"/>
        <w:rPr>
          <w:rFonts w:hint="eastAsia" w:ascii="宋体" w:hAnsi="宋体"/>
          <w:kern w:val="0"/>
          <w:sz w:val="24"/>
          <w:szCs w:val="24"/>
        </w:rPr>
      </w:pPr>
      <w:r>
        <w:rPr>
          <w:rFonts w:hint="eastAsia" w:ascii="仿宋" w:hAnsi="仿宋" w:eastAsia="仿宋"/>
          <w:kern w:val="0"/>
          <w:sz w:val="32"/>
          <w:szCs w:val="32"/>
        </w:rPr>
        <w:t>总工会的基本职责是：维护全区职工合法权益；动员和组织职工积极 参加全区建设和改革，努力完成经济和社会发展任务；代表和组织职工参与全区和社会事务管理，参与企业、事业和机关的民主管理；教育全区广大职工不断提高思想道德素质和科学文化素质，建设有理想、有道德、有文化、有纪律的职工队伍。</w:t>
      </w:r>
    </w:p>
    <w:p>
      <w:pPr>
        <w:ind w:firstLine="800" w:firstLineChars="250"/>
        <w:jc w:val="left"/>
        <w:rPr>
          <w:rFonts w:hint="eastAsia" w:ascii="仿宋" w:hAnsi="仿宋" w:eastAsia="仿宋"/>
          <w:kern w:val="0"/>
          <w:sz w:val="32"/>
          <w:szCs w:val="32"/>
          <w:lang w:eastAsia="zh-CN"/>
        </w:rPr>
      </w:pPr>
      <w:r>
        <w:rPr>
          <w:rFonts w:hint="eastAsia" w:ascii="仿宋" w:hAnsi="仿宋" w:eastAsia="仿宋"/>
          <w:kern w:val="0"/>
          <w:sz w:val="32"/>
          <w:szCs w:val="32"/>
        </w:rPr>
        <w:t>工人文化宫的基本职责是：为广大职工和社会提供健康有益的活动场所，是职工群众的学校和乐园；组织职工开展文体活动；送文化产品下乡；围绕工会中心工作，完成上级工会的各项工作任务。</w:t>
      </w:r>
    </w:p>
    <w:p>
      <w:pPr>
        <w:ind w:firstLine="800" w:firstLineChars="250"/>
        <w:jc w:val="left"/>
        <w:rPr>
          <w:rFonts w:ascii="黑体" w:hAnsi="黑体" w:eastAsia="黑体"/>
          <w:bCs/>
          <w:kern w:val="0"/>
          <w:sz w:val="32"/>
          <w:szCs w:val="32"/>
        </w:rPr>
      </w:pPr>
      <w:r>
        <w:rPr>
          <w:rFonts w:hint="eastAsia" w:ascii="仿宋" w:hAnsi="仿宋" w:eastAsia="仿宋"/>
          <w:kern w:val="0"/>
          <w:sz w:val="32"/>
          <w:szCs w:val="32"/>
          <w:lang w:val="en-US" w:eastAsia="zh-CN"/>
        </w:rPr>
        <w:t xml:space="preserve"> </w:t>
      </w:r>
      <w:r>
        <w:rPr>
          <w:rFonts w:hint="eastAsia" w:ascii="黑体" w:hAnsi="黑体" w:eastAsia="黑体"/>
          <w:bCs/>
          <w:kern w:val="0"/>
          <w:sz w:val="32"/>
          <w:szCs w:val="32"/>
        </w:rPr>
        <w:t>二、机构设置及决算单位构成</w:t>
      </w:r>
    </w:p>
    <w:p>
      <w:pPr>
        <w:ind w:firstLine="800" w:firstLineChars="250"/>
        <w:jc w:val="left"/>
        <w:rPr>
          <w:rFonts w:asciiTheme="minorEastAsia" w:hAnsiTheme="minorEastAsia"/>
          <w:sz w:val="32"/>
          <w:szCs w:val="32"/>
        </w:rPr>
      </w:pPr>
      <w:r>
        <w:rPr>
          <w:rFonts w:hint="eastAsia" w:asciiTheme="minorEastAsia" w:hAnsiTheme="minorEastAsia"/>
          <w:bCs/>
          <w:kern w:val="0"/>
          <w:sz w:val="32"/>
          <w:szCs w:val="32"/>
        </w:rPr>
        <w:t>（一）内设机构设置。</w:t>
      </w:r>
      <w:r>
        <w:rPr>
          <w:rFonts w:hint="eastAsia" w:ascii="仿宋" w:hAnsi="仿宋" w:eastAsia="仿宋"/>
          <w:kern w:val="0"/>
          <w:sz w:val="32"/>
          <w:szCs w:val="32"/>
        </w:rPr>
        <w:t>长沙市望城区总工会是群众团体组织，为参照公务员管理单位。工会在职在编人员5人，离退休人员12人，临聘人员</w:t>
      </w:r>
      <w:r>
        <w:rPr>
          <w:rFonts w:hint="eastAsia" w:ascii="仿宋" w:hAnsi="仿宋" w:eastAsia="仿宋"/>
          <w:kern w:val="0"/>
          <w:sz w:val="32"/>
          <w:szCs w:val="32"/>
          <w:lang w:val="en-US" w:eastAsia="zh-CN"/>
        </w:rPr>
        <w:t>3</w:t>
      </w:r>
      <w:r>
        <w:rPr>
          <w:rFonts w:hint="eastAsia" w:ascii="仿宋" w:hAnsi="仿宋" w:eastAsia="仿宋"/>
          <w:kern w:val="0"/>
          <w:sz w:val="32"/>
          <w:szCs w:val="32"/>
        </w:rPr>
        <w:t>名。内设办公室、财务室、宣教文体科、民管组织科、女职委办公室。工人文化宫为区总工会二级机构，共有在职在编人员7名。共有人员2</w:t>
      </w:r>
      <w:r>
        <w:rPr>
          <w:rFonts w:hint="eastAsia" w:ascii="仿宋" w:hAnsi="仿宋" w:eastAsia="仿宋"/>
          <w:kern w:val="0"/>
          <w:sz w:val="32"/>
          <w:szCs w:val="32"/>
          <w:lang w:val="en-US" w:eastAsia="zh-CN"/>
        </w:rPr>
        <w:t>7</w:t>
      </w:r>
      <w:r>
        <w:rPr>
          <w:rFonts w:hint="eastAsia" w:ascii="仿宋" w:hAnsi="仿宋" w:eastAsia="仿宋"/>
          <w:kern w:val="0"/>
          <w:sz w:val="32"/>
          <w:szCs w:val="32"/>
        </w:rPr>
        <w:t>名。</w:t>
      </w:r>
    </w:p>
    <w:p>
      <w:pPr>
        <w:widowControl/>
        <w:spacing w:line="600" w:lineRule="exact"/>
        <w:ind w:firstLine="640" w:firstLineChars="200"/>
        <w:rPr>
          <w:rFonts w:hint="eastAsia" w:asciiTheme="minorEastAsia" w:hAnsiTheme="minorEastAsia" w:eastAsiaTheme="minorEastAsia"/>
          <w:bCs/>
          <w:kern w:val="0"/>
          <w:sz w:val="32"/>
          <w:szCs w:val="32"/>
          <w:lang w:eastAsia="zh-CN"/>
        </w:rPr>
      </w:pPr>
      <w:r>
        <w:rPr>
          <w:rFonts w:hint="eastAsia" w:asciiTheme="minorEastAsia" w:hAnsiTheme="minorEastAsia"/>
          <w:bCs/>
          <w:kern w:val="0"/>
          <w:sz w:val="32"/>
          <w:szCs w:val="32"/>
        </w:rPr>
        <w:t>（二）决算单位构成。</w:t>
      </w:r>
      <w:r>
        <w:rPr>
          <w:rFonts w:hint="eastAsia" w:asciiTheme="minorEastAsia" w:hAnsiTheme="minorEastAsia"/>
          <w:bCs/>
          <w:kern w:val="0"/>
          <w:sz w:val="32"/>
          <w:szCs w:val="32"/>
          <w:lang w:eastAsia="zh-CN"/>
        </w:rPr>
        <w:t>望城区总工会</w:t>
      </w:r>
      <w:r>
        <w:rPr>
          <w:rFonts w:asciiTheme="minorEastAsia" w:hAnsiTheme="minorEastAsia"/>
          <w:bCs/>
          <w:kern w:val="0"/>
          <w:sz w:val="32"/>
          <w:szCs w:val="32"/>
        </w:rPr>
        <w:t>2019</w:t>
      </w:r>
      <w:r>
        <w:rPr>
          <w:rFonts w:hint="eastAsia" w:asciiTheme="minorEastAsia" w:hAnsiTheme="minorEastAsia"/>
          <w:bCs/>
          <w:kern w:val="0"/>
          <w:sz w:val="32"/>
          <w:szCs w:val="32"/>
        </w:rPr>
        <w:t>年部门决算汇总公开单位构成包括：</w:t>
      </w:r>
      <w:r>
        <w:rPr>
          <w:rFonts w:hint="eastAsia" w:asciiTheme="minorEastAsia" w:hAnsiTheme="minorEastAsia"/>
          <w:bCs/>
          <w:kern w:val="0"/>
          <w:sz w:val="32"/>
          <w:szCs w:val="32"/>
          <w:lang w:eastAsia="zh-CN"/>
        </w:rPr>
        <w:t>望城区总工会</w:t>
      </w:r>
      <w:r>
        <w:rPr>
          <w:rFonts w:hint="eastAsia" w:asciiTheme="minorEastAsia" w:hAnsiTheme="minorEastAsia"/>
          <w:bCs/>
          <w:kern w:val="0"/>
          <w:sz w:val="32"/>
          <w:szCs w:val="32"/>
        </w:rPr>
        <w:t>本级以及</w:t>
      </w:r>
      <w:r>
        <w:rPr>
          <w:rFonts w:hint="eastAsia" w:asciiTheme="minorEastAsia" w:hAnsiTheme="minorEastAsia"/>
          <w:bCs/>
          <w:kern w:val="0"/>
          <w:sz w:val="32"/>
          <w:szCs w:val="32"/>
          <w:lang w:eastAsia="zh-CN"/>
        </w:rPr>
        <w:t>二级机构工人文化宫。</w:t>
      </w:r>
    </w:p>
    <w:p>
      <w:pPr>
        <w:jc w:val="left"/>
        <w:rPr>
          <w:rFonts w:ascii="仿宋_GB2312" w:eastAsia="仿宋_GB2312" w:hAnsiTheme="minorEastAsia"/>
          <w:sz w:val="28"/>
          <w:szCs w:val="32"/>
        </w:rPr>
      </w:pPr>
    </w:p>
    <w:p>
      <w:pPr>
        <w:jc w:val="both"/>
        <w:rPr>
          <w:b/>
          <w:bCs/>
          <w:sz w:val="32"/>
          <w:szCs w:val="32"/>
        </w:rPr>
      </w:pPr>
      <w:r>
        <w:rPr>
          <w:rFonts w:hint="eastAsia"/>
          <w:b/>
          <w:bCs/>
          <w:sz w:val="32"/>
          <w:szCs w:val="32"/>
        </w:rPr>
        <w:t>第二部分</w:t>
      </w:r>
      <w:r>
        <w:rPr>
          <w:rFonts w:hint="eastAsia"/>
          <w:b/>
          <w:bCs/>
          <w:sz w:val="32"/>
          <w:szCs w:val="32"/>
          <w:lang w:val="en-US" w:eastAsia="zh-CN"/>
        </w:rPr>
        <w:t xml:space="preserve">   </w:t>
      </w:r>
      <w:r>
        <w:rPr>
          <w:rFonts w:hint="eastAsia"/>
          <w:b/>
          <w:bCs/>
          <w:sz w:val="32"/>
          <w:szCs w:val="32"/>
        </w:rPr>
        <w:t>部门决算表</w:t>
      </w:r>
    </w:p>
    <w:p>
      <w:pPr>
        <w:tabs>
          <w:tab w:val="left" w:pos="1103"/>
        </w:tabs>
        <w:jc w:val="left"/>
        <w:rPr>
          <w:rFonts w:hint="default" w:eastAsiaTheme="minorEastAsia"/>
          <w:sz w:val="32"/>
          <w:szCs w:val="32"/>
          <w:lang w:val="en-US" w:eastAsia="zh-CN"/>
        </w:rPr>
      </w:pPr>
      <w:r>
        <w:rPr>
          <w:rFonts w:hint="eastAsia"/>
          <w:sz w:val="72"/>
          <w:szCs w:val="72"/>
          <w:lang w:eastAsia="zh-CN"/>
        </w:rPr>
        <w:tab/>
      </w:r>
      <w:r>
        <w:rPr>
          <w:rFonts w:hint="eastAsia"/>
          <w:sz w:val="32"/>
          <w:szCs w:val="32"/>
          <w:lang w:val="en-US" w:eastAsia="zh-CN"/>
        </w:rPr>
        <w:t xml:space="preserve">    见附件</w:t>
      </w:r>
    </w:p>
    <w:p>
      <w:pPr>
        <w:jc w:val="left"/>
        <w:rPr>
          <w:rFonts w:asciiTheme="minorEastAsia" w:hAnsiTheme="minorEastAsia"/>
          <w:sz w:val="32"/>
          <w:szCs w:val="32"/>
        </w:rPr>
        <w:sectPr>
          <w:pgSz w:w="11906" w:h="16838"/>
          <w:pgMar w:top="1440" w:right="1800" w:bottom="1440" w:left="1800" w:header="851" w:footer="992" w:gutter="0"/>
          <w:cols w:space="425" w:num="1"/>
          <w:docGrid w:type="lines" w:linePitch="312" w:charSpace="0"/>
        </w:sectPr>
      </w:pPr>
    </w:p>
    <w:p>
      <w:pPr>
        <w:pStyle w:val="15"/>
        <w:ind w:firstLine="960" w:firstLineChars="300"/>
        <w:jc w:val="both"/>
        <w:rPr>
          <w:b/>
          <w:bCs/>
          <w:sz w:val="32"/>
          <w:szCs w:val="32"/>
        </w:rPr>
      </w:pPr>
      <w:r>
        <w:rPr>
          <w:rFonts w:hint="eastAsia"/>
          <w:b/>
          <w:bCs/>
          <w:sz w:val="32"/>
          <w:szCs w:val="32"/>
        </w:rPr>
        <w:t>第三部分</w:t>
      </w:r>
      <w:r>
        <w:rPr>
          <w:rFonts w:hint="eastAsia"/>
          <w:b/>
          <w:bCs/>
          <w:sz w:val="32"/>
          <w:szCs w:val="32"/>
          <w:lang w:val="en-US" w:eastAsia="zh-CN"/>
        </w:rPr>
        <w:t xml:space="preserve">    </w:t>
      </w:r>
      <w:r>
        <w:rPr>
          <w:b/>
          <w:bCs/>
          <w:sz w:val="32"/>
          <w:szCs w:val="32"/>
        </w:rPr>
        <w:t>2019</w:t>
      </w:r>
      <w:r>
        <w:rPr>
          <w:rFonts w:hint="eastAsia"/>
          <w:b/>
          <w:bCs/>
          <w:sz w:val="32"/>
          <w:szCs w:val="32"/>
        </w:rPr>
        <w:t>年度部门决算情况说明</w:t>
      </w:r>
    </w:p>
    <w:p>
      <w:pPr>
        <w:widowControl/>
        <w:ind w:firstLine="640" w:firstLineChars="200"/>
        <w:jc w:val="left"/>
        <w:rPr>
          <w:rFonts w:hAnsi="黑体"/>
          <w:b/>
          <w:sz w:val="32"/>
          <w:szCs w:val="32"/>
        </w:rPr>
      </w:pPr>
      <w:r>
        <w:rPr>
          <w:rFonts w:hint="eastAsia" w:hAnsi="黑体"/>
          <w:b/>
          <w:sz w:val="32"/>
          <w:szCs w:val="32"/>
        </w:rPr>
        <w:t>一、收入支出决算总体情况说明</w:t>
      </w:r>
    </w:p>
    <w:p>
      <w:pPr>
        <w:pStyle w:val="15"/>
        <w:ind w:firstLine="640" w:firstLineChars="20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2019 年度收、支总计</w:t>
      </w:r>
      <w:r>
        <w:rPr>
          <w:rFonts w:hint="eastAsia" w:asciiTheme="minorEastAsia" w:hAnsiTheme="minorEastAsia" w:eastAsiaTheme="minorEastAsia"/>
          <w:sz w:val="32"/>
          <w:szCs w:val="32"/>
          <w:lang w:val="en-US" w:eastAsia="zh-CN"/>
        </w:rPr>
        <w:t>509.97</w:t>
      </w:r>
      <w:r>
        <w:rPr>
          <w:rFonts w:hint="eastAsia" w:asciiTheme="minorEastAsia" w:hAnsiTheme="minorEastAsia" w:eastAsiaTheme="minorEastAsia"/>
          <w:sz w:val="32"/>
          <w:szCs w:val="32"/>
        </w:rPr>
        <w:t>万元。与2018年相比，增加</w:t>
      </w:r>
      <w:r>
        <w:rPr>
          <w:rFonts w:hint="eastAsia" w:asciiTheme="minorEastAsia" w:hAnsiTheme="minorEastAsia" w:eastAsiaTheme="minorEastAsia"/>
          <w:sz w:val="32"/>
          <w:szCs w:val="32"/>
          <w:lang w:val="en-US" w:eastAsia="zh-CN"/>
        </w:rPr>
        <w:t>70.96</w:t>
      </w:r>
      <w:r>
        <w:rPr>
          <w:rFonts w:hint="eastAsia" w:asciiTheme="minorEastAsia" w:hAnsiTheme="minorEastAsia" w:eastAsiaTheme="minorEastAsia"/>
          <w:sz w:val="32"/>
          <w:szCs w:val="32"/>
        </w:rPr>
        <w:t>万元，增长</w:t>
      </w:r>
      <w:r>
        <w:rPr>
          <w:rFonts w:hint="eastAsia" w:asciiTheme="minorEastAsia" w:hAnsiTheme="minorEastAsia" w:eastAsiaTheme="minorEastAsia"/>
          <w:sz w:val="32"/>
          <w:szCs w:val="32"/>
          <w:lang w:val="en-US" w:eastAsia="zh-CN"/>
        </w:rPr>
        <w:t>13</w:t>
      </w:r>
      <w:r>
        <w:rPr>
          <w:rFonts w:hint="eastAsia" w:asciiTheme="minorEastAsia" w:hAnsiTheme="minorEastAsia" w:eastAsiaTheme="minorEastAsia"/>
          <w:sz w:val="32"/>
          <w:szCs w:val="32"/>
        </w:rPr>
        <w:t>%，主要是因为</w:t>
      </w:r>
      <w:r>
        <w:rPr>
          <w:rFonts w:hint="eastAsia" w:asciiTheme="minorEastAsia" w:hAnsiTheme="minorEastAsia" w:eastAsiaTheme="minorEastAsia"/>
          <w:sz w:val="32"/>
          <w:szCs w:val="32"/>
          <w:lang w:eastAsia="zh-CN"/>
        </w:rPr>
        <w:t>二级机构文化宫纳入总工会一起核算。</w:t>
      </w:r>
    </w:p>
    <w:p>
      <w:pPr>
        <w:pStyle w:val="15"/>
        <w:ind w:firstLine="640" w:firstLineChars="200"/>
        <w:rPr>
          <w:rFonts w:hAnsi="黑体"/>
          <w:b/>
          <w:sz w:val="32"/>
          <w:szCs w:val="32"/>
        </w:rPr>
      </w:pPr>
      <w:r>
        <w:rPr>
          <w:rFonts w:hint="eastAsia" w:hAnsi="黑体"/>
          <w:b/>
          <w:sz w:val="32"/>
          <w:szCs w:val="32"/>
        </w:rPr>
        <w:t>二、收入决算情况说明</w:t>
      </w:r>
    </w:p>
    <w:p>
      <w:pPr>
        <w:pStyle w:val="15"/>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本年收入合计</w:t>
      </w:r>
      <w:r>
        <w:rPr>
          <w:rFonts w:hint="eastAsia" w:asciiTheme="minorEastAsia" w:hAnsiTheme="minorEastAsia" w:eastAsiaTheme="minorEastAsia"/>
          <w:sz w:val="32"/>
          <w:szCs w:val="32"/>
          <w:lang w:val="en-US" w:eastAsia="zh-CN"/>
        </w:rPr>
        <w:t>509.97</w:t>
      </w:r>
      <w:r>
        <w:rPr>
          <w:rFonts w:hint="eastAsia" w:asciiTheme="minorEastAsia" w:hAnsiTheme="minorEastAsia" w:eastAsiaTheme="minorEastAsia"/>
          <w:sz w:val="32"/>
          <w:szCs w:val="32"/>
        </w:rPr>
        <w:t>万元，其中：财政拨款收入</w:t>
      </w:r>
      <w:r>
        <w:rPr>
          <w:rFonts w:hint="eastAsia" w:asciiTheme="minorEastAsia" w:hAnsiTheme="minorEastAsia" w:eastAsiaTheme="minorEastAsia"/>
          <w:sz w:val="32"/>
          <w:szCs w:val="32"/>
          <w:lang w:val="en-US" w:eastAsia="zh-CN"/>
        </w:rPr>
        <w:t>509.97</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w:t>
      </w:r>
    </w:p>
    <w:p>
      <w:pPr>
        <w:pStyle w:val="15"/>
        <w:ind w:firstLine="640" w:firstLineChars="200"/>
        <w:rPr>
          <w:rFonts w:hAnsi="黑体"/>
          <w:b/>
          <w:sz w:val="32"/>
          <w:szCs w:val="32"/>
        </w:rPr>
      </w:pPr>
      <w:r>
        <w:rPr>
          <w:rFonts w:hint="eastAsia" w:hAnsi="黑体"/>
          <w:b/>
          <w:sz w:val="32"/>
          <w:szCs w:val="32"/>
        </w:rPr>
        <w:t>三、支出决算情况说明</w:t>
      </w:r>
    </w:p>
    <w:p>
      <w:pPr>
        <w:pStyle w:val="15"/>
        <w:ind w:firstLine="640" w:firstLineChars="200"/>
        <w:rPr>
          <w:rFonts w:hint="eastAsia" w:asciiTheme="minorEastAsia" w:hAnsiTheme="minorEastAsia" w:eastAsiaTheme="minorEastAsia"/>
          <w:sz w:val="32"/>
          <w:szCs w:val="32"/>
          <w:lang w:val="en-US" w:eastAsia="zh-CN"/>
        </w:rPr>
      </w:pPr>
      <w:r>
        <w:rPr>
          <w:rFonts w:hint="eastAsia" w:asciiTheme="minorEastAsia" w:hAnsiTheme="minorEastAsia" w:eastAsiaTheme="minorEastAsia"/>
          <w:sz w:val="32"/>
          <w:szCs w:val="32"/>
        </w:rPr>
        <w:t>本年支出合计</w:t>
      </w:r>
      <w:r>
        <w:rPr>
          <w:rFonts w:hint="eastAsia" w:asciiTheme="minorEastAsia" w:hAnsiTheme="minorEastAsia" w:eastAsiaTheme="minorEastAsia"/>
          <w:sz w:val="32"/>
          <w:szCs w:val="32"/>
          <w:lang w:val="en-US" w:eastAsia="zh-CN"/>
        </w:rPr>
        <w:t>509.97</w:t>
      </w:r>
      <w:r>
        <w:rPr>
          <w:rFonts w:hint="eastAsia" w:asciiTheme="minorEastAsia" w:hAnsiTheme="minorEastAsia" w:eastAsiaTheme="minorEastAsia"/>
          <w:sz w:val="32"/>
          <w:szCs w:val="32"/>
        </w:rPr>
        <w:t>万元，其中：基本支出</w:t>
      </w:r>
      <w:r>
        <w:rPr>
          <w:rFonts w:hint="eastAsia" w:asciiTheme="minorEastAsia" w:hAnsiTheme="minorEastAsia" w:eastAsiaTheme="minorEastAsia"/>
          <w:sz w:val="32"/>
          <w:szCs w:val="32"/>
          <w:lang w:val="en-US" w:eastAsia="zh-CN"/>
        </w:rPr>
        <w:t>311.96</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61</w:t>
      </w:r>
      <w:r>
        <w:rPr>
          <w:rFonts w:hint="eastAsia" w:asciiTheme="minorEastAsia" w:hAnsiTheme="minorEastAsia" w:eastAsiaTheme="minorEastAsia"/>
          <w:sz w:val="32"/>
          <w:szCs w:val="32"/>
        </w:rPr>
        <w:t>%；项目支出</w:t>
      </w:r>
      <w:r>
        <w:rPr>
          <w:rFonts w:hint="eastAsia" w:asciiTheme="minorEastAsia" w:hAnsiTheme="minorEastAsia" w:eastAsiaTheme="minorEastAsia"/>
          <w:sz w:val="32"/>
          <w:szCs w:val="32"/>
          <w:lang w:val="en-US" w:eastAsia="zh-CN"/>
        </w:rPr>
        <w:t>198.01</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39</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w:t>
      </w:r>
    </w:p>
    <w:p>
      <w:pPr>
        <w:pStyle w:val="15"/>
        <w:ind w:firstLine="640" w:firstLineChars="200"/>
        <w:rPr>
          <w:rFonts w:hAnsi="黑体"/>
          <w:b/>
          <w:sz w:val="32"/>
          <w:szCs w:val="32"/>
        </w:rPr>
      </w:pPr>
      <w:r>
        <w:rPr>
          <w:rFonts w:hint="eastAsia" w:hAnsi="黑体"/>
          <w:b/>
          <w:sz w:val="32"/>
          <w:szCs w:val="32"/>
        </w:rPr>
        <w:t>四、财政拨款收入支出决算总体情况说明</w:t>
      </w:r>
    </w:p>
    <w:p>
      <w:pPr>
        <w:pStyle w:val="15"/>
        <w:ind w:firstLine="640" w:firstLineChars="20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 xml:space="preserve">    2019年度财政拨款收、支总计</w:t>
      </w:r>
      <w:r>
        <w:rPr>
          <w:rFonts w:hint="eastAsia" w:asciiTheme="minorEastAsia" w:hAnsiTheme="minorEastAsia" w:eastAsiaTheme="minorEastAsia"/>
          <w:sz w:val="32"/>
          <w:szCs w:val="32"/>
          <w:lang w:val="en-US" w:eastAsia="zh-CN"/>
        </w:rPr>
        <w:t>509.97</w:t>
      </w:r>
      <w:r>
        <w:rPr>
          <w:rFonts w:hint="eastAsia" w:asciiTheme="minorEastAsia" w:hAnsiTheme="minorEastAsia" w:eastAsiaTheme="minorEastAsia"/>
          <w:sz w:val="32"/>
          <w:szCs w:val="32"/>
        </w:rPr>
        <w:t>万元，与2018年相比，增加</w:t>
      </w:r>
      <w:r>
        <w:rPr>
          <w:rFonts w:hint="eastAsia" w:asciiTheme="minorEastAsia" w:hAnsiTheme="minorEastAsia" w:eastAsiaTheme="minorEastAsia"/>
          <w:sz w:val="32"/>
          <w:szCs w:val="32"/>
          <w:lang w:val="en-US" w:eastAsia="zh-CN"/>
        </w:rPr>
        <w:t>70.96</w:t>
      </w:r>
      <w:r>
        <w:rPr>
          <w:rFonts w:hint="eastAsia" w:asciiTheme="minorEastAsia" w:hAnsiTheme="minorEastAsia" w:eastAsiaTheme="minorEastAsia"/>
          <w:sz w:val="32"/>
          <w:szCs w:val="32"/>
        </w:rPr>
        <w:t>万元,增长</w:t>
      </w:r>
      <w:r>
        <w:rPr>
          <w:rFonts w:hint="eastAsia" w:asciiTheme="minorEastAsia" w:hAnsiTheme="minorEastAsia" w:eastAsiaTheme="minorEastAsia"/>
          <w:sz w:val="32"/>
          <w:szCs w:val="32"/>
          <w:lang w:val="en-US" w:eastAsia="zh-CN"/>
        </w:rPr>
        <w:t>13</w:t>
      </w:r>
      <w:r>
        <w:rPr>
          <w:rFonts w:hint="eastAsia" w:asciiTheme="minorEastAsia" w:hAnsiTheme="minorEastAsia" w:eastAsiaTheme="minorEastAsia"/>
          <w:sz w:val="32"/>
          <w:szCs w:val="32"/>
        </w:rPr>
        <w:t>%，主要是因为</w:t>
      </w:r>
      <w:r>
        <w:rPr>
          <w:rFonts w:hint="eastAsia" w:asciiTheme="minorEastAsia" w:hAnsiTheme="minorEastAsia" w:eastAsiaTheme="minorEastAsia"/>
          <w:sz w:val="32"/>
          <w:szCs w:val="32"/>
          <w:lang w:eastAsia="zh-CN"/>
        </w:rPr>
        <w:t>二级机构文化宫纳入总工会一起核算。</w:t>
      </w:r>
    </w:p>
    <w:p>
      <w:pPr>
        <w:pStyle w:val="15"/>
        <w:ind w:firstLine="640" w:firstLineChars="200"/>
        <w:rPr>
          <w:rFonts w:hAnsi="黑体"/>
          <w:b/>
          <w:sz w:val="32"/>
          <w:szCs w:val="32"/>
        </w:rPr>
      </w:pPr>
      <w:r>
        <w:rPr>
          <w:rFonts w:hint="eastAsia" w:hAnsi="黑体"/>
          <w:b/>
          <w:sz w:val="32"/>
          <w:szCs w:val="32"/>
        </w:rPr>
        <w:t>五、一般公共预算财政拨款支出决算情况说明</w:t>
      </w:r>
    </w:p>
    <w:p>
      <w:pPr>
        <w:pStyle w:val="15"/>
        <w:ind w:firstLine="640" w:firstLineChars="200"/>
        <w:rPr>
          <w:rFonts w:asciiTheme="minorEastAsia" w:hAnsiTheme="minorEastAsia" w:eastAsiaTheme="minorEastAsia"/>
          <w:b/>
          <w:sz w:val="32"/>
          <w:szCs w:val="32"/>
        </w:rPr>
      </w:pPr>
      <w:r>
        <w:rPr>
          <w:rFonts w:hint="eastAsia" w:asciiTheme="minorEastAsia" w:hAnsiTheme="minorEastAsia" w:eastAsiaTheme="minorEastAsia"/>
          <w:b/>
          <w:sz w:val="32"/>
          <w:szCs w:val="32"/>
        </w:rPr>
        <w:t>（一）财政拨款支出决算总体情况</w:t>
      </w:r>
    </w:p>
    <w:p>
      <w:pPr>
        <w:pStyle w:val="15"/>
        <w:ind w:firstLine="640" w:firstLineChars="20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2019年度财政拨款支出</w:t>
      </w:r>
      <w:r>
        <w:rPr>
          <w:rFonts w:hint="eastAsia" w:asciiTheme="minorEastAsia" w:hAnsiTheme="minorEastAsia" w:eastAsiaTheme="minorEastAsia"/>
          <w:sz w:val="32"/>
          <w:szCs w:val="32"/>
          <w:lang w:val="en-US" w:eastAsia="zh-CN"/>
        </w:rPr>
        <w:t>509.97</w:t>
      </w:r>
      <w:r>
        <w:rPr>
          <w:rFonts w:hint="eastAsia" w:asciiTheme="minorEastAsia" w:hAnsiTheme="minorEastAsia" w:eastAsiaTheme="minorEastAsia"/>
          <w:sz w:val="32"/>
          <w:szCs w:val="32"/>
        </w:rPr>
        <w:t>万元，占本年支出合计的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%，与2018年相比，财政拨款支出增加</w:t>
      </w:r>
      <w:r>
        <w:rPr>
          <w:rFonts w:hint="eastAsia" w:asciiTheme="minorEastAsia" w:hAnsiTheme="minorEastAsia" w:eastAsiaTheme="minorEastAsia"/>
          <w:sz w:val="32"/>
          <w:szCs w:val="32"/>
          <w:lang w:val="en-US" w:eastAsia="zh-CN"/>
        </w:rPr>
        <w:t>70.96</w:t>
      </w:r>
      <w:r>
        <w:rPr>
          <w:rFonts w:hint="eastAsia" w:asciiTheme="minorEastAsia" w:hAnsiTheme="minorEastAsia" w:eastAsiaTheme="minorEastAsia"/>
          <w:sz w:val="32"/>
          <w:szCs w:val="32"/>
        </w:rPr>
        <w:t>万元，增长</w:t>
      </w:r>
      <w:r>
        <w:rPr>
          <w:rFonts w:hint="eastAsia" w:asciiTheme="minorEastAsia" w:hAnsiTheme="minorEastAsia" w:eastAsiaTheme="minorEastAsia"/>
          <w:sz w:val="32"/>
          <w:szCs w:val="32"/>
          <w:lang w:val="en-US" w:eastAsia="zh-CN"/>
        </w:rPr>
        <w:t>13</w:t>
      </w:r>
      <w:r>
        <w:rPr>
          <w:rFonts w:hint="eastAsia" w:asciiTheme="minorEastAsia" w:hAnsiTheme="minorEastAsia" w:eastAsiaTheme="minorEastAsia"/>
          <w:sz w:val="32"/>
          <w:szCs w:val="32"/>
        </w:rPr>
        <w:t>%，主要是因为</w:t>
      </w:r>
      <w:r>
        <w:rPr>
          <w:rFonts w:hint="eastAsia" w:asciiTheme="minorEastAsia" w:hAnsiTheme="minorEastAsia" w:eastAsiaTheme="minorEastAsia"/>
          <w:sz w:val="32"/>
          <w:szCs w:val="32"/>
          <w:lang w:eastAsia="zh-CN"/>
        </w:rPr>
        <w:t>二级机构文化宫纳入总工会一起核算。</w:t>
      </w:r>
    </w:p>
    <w:p>
      <w:pPr>
        <w:pStyle w:val="15"/>
        <w:ind w:firstLine="640" w:firstLineChars="200"/>
        <w:rPr>
          <w:rFonts w:asciiTheme="minorEastAsia" w:hAnsiTheme="minorEastAsia" w:eastAsiaTheme="minorEastAsia"/>
          <w:b/>
          <w:sz w:val="32"/>
          <w:szCs w:val="32"/>
        </w:rPr>
      </w:pPr>
      <w:r>
        <w:rPr>
          <w:rFonts w:hint="eastAsia" w:asciiTheme="minorEastAsia" w:hAnsiTheme="minorEastAsia" w:eastAsiaTheme="minorEastAsia"/>
          <w:b/>
          <w:sz w:val="32"/>
          <w:szCs w:val="32"/>
        </w:rPr>
        <w:t>（二）财政拨款支出决算结构情况</w:t>
      </w:r>
    </w:p>
    <w:p>
      <w:pPr>
        <w:pStyle w:val="15"/>
        <w:ind w:firstLine="640" w:firstLineChars="200"/>
        <w:rPr>
          <w:rFonts w:hint="default" w:asciiTheme="minorEastAsia" w:hAnsiTheme="minorEastAsia" w:eastAsiaTheme="minorEastAsia"/>
          <w:sz w:val="32"/>
          <w:szCs w:val="32"/>
          <w:lang w:val="en-US" w:eastAsia="zh-CN"/>
        </w:rPr>
      </w:pPr>
      <w:r>
        <w:rPr>
          <w:rFonts w:hint="eastAsia" w:asciiTheme="minorEastAsia" w:hAnsiTheme="minorEastAsia" w:eastAsiaTheme="minorEastAsia"/>
          <w:sz w:val="32"/>
          <w:szCs w:val="32"/>
        </w:rPr>
        <w:t>2019年度财政拨款支出</w:t>
      </w:r>
      <w:r>
        <w:rPr>
          <w:rFonts w:hint="eastAsia" w:asciiTheme="minorEastAsia" w:hAnsiTheme="minorEastAsia" w:eastAsiaTheme="minorEastAsia"/>
          <w:sz w:val="32"/>
          <w:szCs w:val="32"/>
          <w:lang w:val="en-US" w:eastAsia="zh-CN"/>
        </w:rPr>
        <w:t>509.97</w:t>
      </w:r>
      <w:r>
        <w:rPr>
          <w:rFonts w:hint="eastAsia" w:asciiTheme="minorEastAsia" w:hAnsiTheme="minorEastAsia" w:eastAsiaTheme="minorEastAsia"/>
          <w:sz w:val="32"/>
          <w:szCs w:val="32"/>
        </w:rPr>
        <w:t>万元，主要用于以下方面：一般公共服务（类）支出</w:t>
      </w:r>
      <w:r>
        <w:rPr>
          <w:rFonts w:hint="eastAsia" w:asciiTheme="minorEastAsia" w:hAnsiTheme="minorEastAsia" w:eastAsiaTheme="minorEastAsia"/>
          <w:sz w:val="32"/>
          <w:szCs w:val="32"/>
          <w:lang w:val="en-US" w:eastAsia="zh-CN"/>
        </w:rPr>
        <w:t>377.57</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74</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社会保障和就业支出</w:t>
      </w:r>
      <w:r>
        <w:rPr>
          <w:rFonts w:hint="eastAsia" w:asciiTheme="minorEastAsia" w:hAnsiTheme="minorEastAsia" w:eastAsiaTheme="minorEastAsia"/>
          <w:sz w:val="32"/>
          <w:szCs w:val="32"/>
          <w:lang w:val="en-US" w:eastAsia="zh-CN"/>
        </w:rPr>
        <w:t>83.94万元，占16%；卫生健康支出19.27万元，占3%；住房保障支出29.19万元，占5%。</w:t>
      </w:r>
    </w:p>
    <w:p>
      <w:pPr>
        <w:pStyle w:val="15"/>
        <w:ind w:firstLine="800" w:firstLineChars="250"/>
        <w:rPr>
          <w:rFonts w:asciiTheme="minorEastAsia" w:hAnsiTheme="minorEastAsia" w:eastAsiaTheme="minorEastAsia"/>
          <w:b/>
          <w:sz w:val="32"/>
          <w:szCs w:val="32"/>
        </w:rPr>
      </w:pPr>
      <w:r>
        <w:rPr>
          <w:rFonts w:hint="eastAsia" w:asciiTheme="minorEastAsia" w:hAnsiTheme="minorEastAsia" w:eastAsiaTheme="minorEastAsia"/>
          <w:b/>
          <w:sz w:val="32"/>
          <w:szCs w:val="32"/>
        </w:rPr>
        <w:t>（三）财政拨款支出决算具体情况</w:t>
      </w:r>
    </w:p>
    <w:p>
      <w:pPr>
        <w:pStyle w:val="15"/>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2019年度财政拨款支出年初预算数为</w:t>
      </w:r>
      <w:r>
        <w:rPr>
          <w:rFonts w:hint="eastAsia" w:asciiTheme="minorEastAsia" w:hAnsiTheme="minorEastAsia" w:eastAsiaTheme="minorEastAsia"/>
          <w:sz w:val="32"/>
          <w:szCs w:val="32"/>
          <w:lang w:val="en-US" w:eastAsia="zh-CN"/>
        </w:rPr>
        <w:t>499.77</w:t>
      </w:r>
      <w:r>
        <w:rPr>
          <w:rFonts w:hint="eastAsia" w:asciiTheme="minorEastAsia" w:hAnsiTheme="minorEastAsia" w:eastAsiaTheme="minorEastAsia"/>
          <w:sz w:val="32"/>
          <w:szCs w:val="32"/>
        </w:rPr>
        <w:t>万元，支出决算数为</w:t>
      </w:r>
      <w:r>
        <w:rPr>
          <w:rFonts w:hint="eastAsia" w:asciiTheme="minorEastAsia" w:hAnsiTheme="minorEastAsia" w:eastAsiaTheme="minorEastAsia"/>
          <w:sz w:val="32"/>
          <w:szCs w:val="32"/>
          <w:lang w:val="en-US" w:eastAsia="zh-CN"/>
        </w:rPr>
        <w:t>509.97</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102</w:t>
      </w:r>
      <w:r>
        <w:rPr>
          <w:rFonts w:hint="eastAsia" w:asciiTheme="minorEastAsia" w:hAnsiTheme="minorEastAsia" w:eastAsiaTheme="minorEastAsia"/>
          <w:sz w:val="32"/>
          <w:szCs w:val="32"/>
        </w:rPr>
        <w:t>%，其中：</w:t>
      </w:r>
    </w:p>
    <w:p>
      <w:pPr>
        <w:pStyle w:val="15"/>
        <w:numPr>
          <w:ilvl w:val="0"/>
          <w:numId w:val="1"/>
        </w:numPr>
        <w:ind w:firstLine="800" w:firstLineChars="25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一般公共服务</w:t>
      </w:r>
      <w:r>
        <w:rPr>
          <w:rFonts w:hint="eastAsia" w:asciiTheme="minorEastAsia" w:hAnsiTheme="minorEastAsia" w:eastAsiaTheme="minorEastAsia"/>
          <w:sz w:val="32"/>
          <w:szCs w:val="32"/>
          <w:lang w:eastAsia="zh-CN"/>
        </w:rPr>
        <w:t>类</w:t>
      </w:r>
      <w:r>
        <w:rPr>
          <w:rFonts w:hint="eastAsia" w:asciiTheme="minorEastAsia" w:hAnsiTheme="minorEastAsia" w:eastAsiaTheme="minorEastAsia"/>
          <w:sz w:val="32"/>
          <w:szCs w:val="32"/>
          <w:lang w:val="en-US" w:eastAsia="zh-CN"/>
        </w:rPr>
        <w:t>2012901</w:t>
      </w:r>
      <w:r>
        <w:rPr>
          <w:rFonts w:hint="eastAsia" w:asciiTheme="minorEastAsia" w:hAnsiTheme="minorEastAsia" w:eastAsiaTheme="minorEastAsia"/>
          <w:sz w:val="32"/>
          <w:szCs w:val="32"/>
          <w:lang w:eastAsia="zh-CN"/>
        </w:rPr>
        <w:t>行政运行</w:t>
      </w: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234.7</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234.7</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w:t>
      </w:r>
    </w:p>
    <w:p>
      <w:pPr>
        <w:pStyle w:val="15"/>
        <w:numPr>
          <w:ilvl w:val="0"/>
          <w:numId w:val="1"/>
        </w:numPr>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一般公共服务</w:t>
      </w:r>
      <w:r>
        <w:rPr>
          <w:rFonts w:hint="eastAsia" w:asciiTheme="minorEastAsia" w:hAnsiTheme="minorEastAsia" w:eastAsiaTheme="minorEastAsia"/>
          <w:sz w:val="32"/>
          <w:szCs w:val="32"/>
          <w:lang w:val="en-US" w:eastAsia="zh-CN"/>
        </w:rPr>
        <w:t>2012902一般行政管理事务</w:t>
      </w: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142.87</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142.87</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w:t>
      </w:r>
    </w:p>
    <w:p>
      <w:pPr>
        <w:pStyle w:val="15"/>
        <w:ind w:firstLine="640" w:firstLineChars="200"/>
        <w:rPr>
          <w:rFonts w:hAnsi="黑体"/>
          <w:b/>
          <w:sz w:val="32"/>
          <w:szCs w:val="32"/>
        </w:rPr>
      </w:pPr>
      <w:r>
        <w:rPr>
          <w:rFonts w:hint="eastAsia" w:hAnsi="黑体"/>
          <w:b/>
          <w:sz w:val="32"/>
          <w:szCs w:val="32"/>
        </w:rPr>
        <w:t>六、一般公共预算财政拨款基本支出决算情况说明</w:t>
      </w:r>
    </w:p>
    <w:p>
      <w:pPr>
        <w:pStyle w:val="15"/>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2019年度财政拨款基本支出</w:t>
      </w:r>
      <w:r>
        <w:rPr>
          <w:rFonts w:hint="eastAsia" w:asciiTheme="minorEastAsia" w:hAnsiTheme="minorEastAsia" w:eastAsiaTheme="minorEastAsia"/>
          <w:sz w:val="32"/>
          <w:szCs w:val="32"/>
          <w:lang w:val="en-US" w:eastAsia="zh-CN"/>
        </w:rPr>
        <w:t>311.96</w:t>
      </w:r>
      <w:r>
        <w:rPr>
          <w:rFonts w:hint="eastAsia" w:asciiTheme="minorEastAsia" w:hAnsiTheme="minorEastAsia" w:eastAsiaTheme="minorEastAsia"/>
          <w:sz w:val="32"/>
          <w:szCs w:val="32"/>
        </w:rPr>
        <w:t>万元，其中：人员经费</w:t>
      </w:r>
      <w:r>
        <w:rPr>
          <w:rFonts w:hint="eastAsia" w:asciiTheme="minorEastAsia" w:hAnsiTheme="minorEastAsia" w:eastAsiaTheme="minorEastAsia"/>
          <w:sz w:val="32"/>
          <w:szCs w:val="32"/>
          <w:lang w:val="en-US" w:eastAsia="zh-CN"/>
        </w:rPr>
        <w:t>275.67</w:t>
      </w:r>
      <w:r>
        <w:rPr>
          <w:rFonts w:hint="eastAsia" w:asciiTheme="minorEastAsia" w:hAnsiTheme="minorEastAsia" w:eastAsiaTheme="minorEastAsia"/>
          <w:sz w:val="32"/>
          <w:szCs w:val="32"/>
        </w:rPr>
        <w:t>万元，占基本支出的</w:t>
      </w:r>
      <w:r>
        <w:rPr>
          <w:rFonts w:hint="eastAsia" w:asciiTheme="minorEastAsia" w:hAnsiTheme="minorEastAsia" w:eastAsiaTheme="minorEastAsia"/>
          <w:sz w:val="32"/>
          <w:szCs w:val="32"/>
          <w:lang w:val="en-US" w:eastAsia="zh-CN"/>
        </w:rPr>
        <w:t>88</w:t>
      </w:r>
      <w:r>
        <w:rPr>
          <w:rFonts w:hint="eastAsia" w:asciiTheme="minorEastAsia" w:hAnsiTheme="minorEastAsia" w:eastAsiaTheme="minorEastAsia"/>
          <w:sz w:val="32"/>
          <w:szCs w:val="32"/>
        </w:rPr>
        <w:t>%,主要包括基本工资、津贴补贴、奖金、伙食补助费</w:t>
      </w:r>
      <w:r>
        <w:rPr>
          <w:rFonts w:hint="eastAsia" w:asciiTheme="minorEastAsia" w:hAnsiTheme="minorEastAsia" w:eastAsiaTheme="minorEastAsia"/>
          <w:sz w:val="32"/>
          <w:szCs w:val="32"/>
          <w:lang w:eastAsia="zh-CN"/>
        </w:rPr>
        <w:t>、养老保险、职业年金，医疗保险，对个人和家庭的补助</w:t>
      </w:r>
      <w:r>
        <w:rPr>
          <w:rFonts w:hint="eastAsia" w:asciiTheme="minorEastAsia" w:hAnsiTheme="minorEastAsia" w:eastAsiaTheme="minorEastAsia"/>
          <w:sz w:val="32"/>
          <w:szCs w:val="32"/>
        </w:rPr>
        <w:t>；公用经费</w:t>
      </w:r>
      <w:r>
        <w:rPr>
          <w:rFonts w:hint="eastAsia" w:asciiTheme="minorEastAsia" w:hAnsiTheme="minorEastAsia" w:eastAsiaTheme="minorEastAsia"/>
          <w:sz w:val="32"/>
          <w:szCs w:val="32"/>
          <w:lang w:val="en-US" w:eastAsia="zh-CN"/>
        </w:rPr>
        <w:t>36.29</w:t>
      </w:r>
      <w:r>
        <w:rPr>
          <w:rFonts w:hint="eastAsia" w:asciiTheme="minorEastAsia" w:hAnsiTheme="minorEastAsia" w:eastAsiaTheme="minorEastAsia"/>
          <w:sz w:val="32"/>
          <w:szCs w:val="32"/>
        </w:rPr>
        <w:t>万元，占基本支出的</w:t>
      </w:r>
      <w:r>
        <w:rPr>
          <w:rFonts w:hint="eastAsia" w:asciiTheme="minorEastAsia" w:hAnsiTheme="minorEastAsia" w:eastAsiaTheme="minorEastAsia"/>
          <w:sz w:val="32"/>
          <w:szCs w:val="32"/>
          <w:lang w:val="en-US" w:eastAsia="zh-CN"/>
        </w:rPr>
        <w:t>12</w:t>
      </w:r>
      <w:r>
        <w:rPr>
          <w:rFonts w:hint="eastAsia" w:asciiTheme="minorEastAsia" w:hAnsiTheme="minorEastAsia" w:eastAsiaTheme="minorEastAsia"/>
          <w:sz w:val="32"/>
          <w:szCs w:val="32"/>
        </w:rPr>
        <w:t>%，主要包括办公费、印刷费、咨询费、手续费</w:t>
      </w:r>
      <w:r>
        <w:rPr>
          <w:rFonts w:hint="eastAsia" w:asciiTheme="minorEastAsia" w:hAnsiTheme="minorEastAsia" w:eastAsiaTheme="minorEastAsia"/>
          <w:sz w:val="32"/>
          <w:szCs w:val="32"/>
          <w:lang w:eastAsia="zh-CN"/>
        </w:rPr>
        <w:t>、劳务费、其他交通费、其他商品服务支出。</w:t>
      </w:r>
    </w:p>
    <w:p>
      <w:pPr>
        <w:pStyle w:val="15"/>
        <w:ind w:firstLine="640" w:firstLineChars="200"/>
        <w:rPr>
          <w:rFonts w:hAnsi="黑体"/>
          <w:b/>
          <w:sz w:val="32"/>
          <w:szCs w:val="32"/>
        </w:rPr>
      </w:pPr>
      <w:r>
        <w:rPr>
          <w:rFonts w:hint="eastAsia" w:hAnsi="黑体"/>
          <w:b/>
          <w:sz w:val="32"/>
          <w:szCs w:val="32"/>
        </w:rPr>
        <w:t>七、一般公共预算财政拨款三公经费支出决算情况说明</w:t>
      </w:r>
    </w:p>
    <w:p>
      <w:pPr>
        <w:pStyle w:val="15"/>
        <w:rPr>
          <w:rFonts w:asciiTheme="minorEastAsia" w:hAnsiTheme="minorEastAsia" w:eastAsiaTheme="minorEastAsia"/>
          <w:b/>
          <w:sz w:val="32"/>
          <w:szCs w:val="32"/>
        </w:rPr>
      </w:pPr>
      <w:r>
        <w:rPr>
          <w:rFonts w:hint="eastAsia" w:asciiTheme="minorEastAsia" w:hAnsiTheme="minorEastAsia" w:eastAsiaTheme="minorEastAsia"/>
          <w:b/>
          <w:sz w:val="32"/>
          <w:szCs w:val="32"/>
        </w:rPr>
        <w:t>（一）“三公”经费财政拨款支出决算总体情况说明</w:t>
      </w:r>
    </w:p>
    <w:p>
      <w:pPr>
        <w:pStyle w:val="15"/>
        <w:ind w:firstLine="800" w:firstLineChars="250"/>
        <w:rPr>
          <w:rFonts w:hint="default" w:asciiTheme="minorEastAsia" w:hAnsiTheme="minorEastAsia" w:eastAsiaTheme="minorEastAsia"/>
          <w:sz w:val="32"/>
          <w:szCs w:val="32"/>
          <w:lang w:val="en-US" w:eastAsia="zh-CN"/>
        </w:rPr>
      </w:pPr>
      <w:r>
        <w:rPr>
          <w:rFonts w:hint="eastAsia" w:asciiTheme="minorEastAsia" w:hAnsiTheme="minorEastAsia" w:eastAsiaTheme="minorEastAsia"/>
          <w:sz w:val="32"/>
          <w:szCs w:val="32"/>
        </w:rPr>
        <w:t>“三公”经费财政拨款支出预算为</w:t>
      </w:r>
      <w:r>
        <w:rPr>
          <w:rFonts w:hint="eastAsia" w:asciiTheme="minorEastAsia" w:hAnsiTheme="minorEastAsia" w:eastAsiaTheme="minorEastAsia"/>
          <w:sz w:val="32"/>
          <w:szCs w:val="32"/>
          <w:lang w:val="en-US" w:eastAsia="zh-CN"/>
        </w:rPr>
        <w:t>4</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5.85</w:t>
      </w:r>
      <w:r>
        <w:rPr>
          <w:rFonts w:hint="eastAsia" w:asciiTheme="minorEastAsia" w:hAnsiTheme="minorEastAsia" w:eastAsiaTheme="minorEastAsia"/>
          <w:sz w:val="32"/>
          <w:szCs w:val="32"/>
        </w:rPr>
        <w:t>万元，完成预算的</w:t>
      </w:r>
      <w:r>
        <w:rPr>
          <w:rFonts w:hint="eastAsia" w:asciiTheme="minorEastAsia" w:hAnsiTheme="minorEastAsia" w:eastAsiaTheme="minorEastAsia"/>
          <w:sz w:val="32"/>
          <w:szCs w:val="32"/>
          <w:lang w:val="en-US" w:eastAsia="zh-CN"/>
        </w:rPr>
        <w:t>146</w:t>
      </w:r>
      <w:r>
        <w:rPr>
          <w:rFonts w:hint="eastAsia" w:asciiTheme="minorEastAsia" w:hAnsiTheme="minorEastAsia" w:eastAsiaTheme="minorEastAsia"/>
          <w:sz w:val="32"/>
          <w:szCs w:val="32"/>
        </w:rPr>
        <w:t>%，其中：</w:t>
      </w:r>
      <w:r>
        <w:rPr>
          <w:rFonts w:hint="eastAsia" w:asciiTheme="minorEastAsia" w:hAnsiTheme="minorEastAsia" w:eastAsiaTheme="minorEastAsia"/>
          <w:sz w:val="32"/>
          <w:szCs w:val="32"/>
          <w:lang w:val="en-US" w:eastAsia="zh-CN"/>
        </w:rPr>
        <w:t>公务接待0.4万元。</w:t>
      </w:r>
    </w:p>
    <w:p>
      <w:pPr>
        <w:pStyle w:val="15"/>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公务接待费支出预算为</w:t>
      </w:r>
      <w:r>
        <w:rPr>
          <w:rFonts w:hint="eastAsia" w:asciiTheme="minorEastAsia" w:hAnsiTheme="minorEastAsia" w:eastAsiaTheme="minorEastAsia"/>
          <w:sz w:val="32"/>
          <w:szCs w:val="32"/>
          <w:lang w:val="en-US" w:eastAsia="zh-CN"/>
        </w:rPr>
        <w:t>4</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0.4</w:t>
      </w:r>
      <w:r>
        <w:rPr>
          <w:rFonts w:hint="eastAsia" w:asciiTheme="minorEastAsia" w:hAnsiTheme="minorEastAsia" w:eastAsiaTheme="minorEastAsia"/>
          <w:sz w:val="32"/>
          <w:szCs w:val="32"/>
        </w:rPr>
        <w:t>万元，完成预算的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%，决算数小于年初预算数的主要原因是</w:t>
      </w:r>
      <w:r>
        <w:rPr>
          <w:rFonts w:hint="eastAsia" w:asciiTheme="minorEastAsia" w:hAnsiTheme="minorEastAsia" w:eastAsiaTheme="minorEastAsia"/>
          <w:sz w:val="32"/>
          <w:szCs w:val="32"/>
          <w:lang w:eastAsia="zh-CN"/>
        </w:rPr>
        <w:t>厉行节约</w:t>
      </w:r>
      <w:r>
        <w:rPr>
          <w:rFonts w:hint="eastAsia" w:asciiTheme="minorEastAsia" w:hAnsiTheme="minorEastAsia" w:eastAsiaTheme="minorEastAsia"/>
          <w:sz w:val="32"/>
          <w:szCs w:val="32"/>
        </w:rPr>
        <w:t>，与上年相比增加</w:t>
      </w:r>
      <w:r>
        <w:rPr>
          <w:rFonts w:hint="eastAsia" w:asciiTheme="minorEastAsia" w:hAnsiTheme="minorEastAsia" w:eastAsiaTheme="minorEastAsia"/>
          <w:sz w:val="32"/>
          <w:szCs w:val="32"/>
          <w:lang w:val="en-US" w:eastAsia="zh-CN"/>
        </w:rPr>
        <w:t>0.3</w:t>
      </w:r>
      <w:r>
        <w:rPr>
          <w:rFonts w:hint="eastAsia" w:asciiTheme="minorEastAsia" w:hAnsiTheme="minorEastAsia" w:eastAsiaTheme="minorEastAsia"/>
          <w:sz w:val="32"/>
          <w:szCs w:val="32"/>
        </w:rPr>
        <w:t>万元，增长</w:t>
      </w:r>
      <w:r>
        <w:rPr>
          <w:rFonts w:hint="eastAsia" w:asciiTheme="minorEastAsia" w:hAnsiTheme="minorEastAsia" w:eastAsiaTheme="minorEastAsia"/>
          <w:sz w:val="32"/>
          <w:szCs w:val="32"/>
          <w:lang w:val="en-US" w:eastAsia="zh-CN"/>
        </w:rPr>
        <w:t>75</w:t>
      </w:r>
      <w:r>
        <w:rPr>
          <w:rFonts w:hint="eastAsia" w:asciiTheme="minorEastAsia" w:hAnsiTheme="minorEastAsia" w:eastAsiaTheme="minorEastAsia"/>
          <w:sz w:val="32"/>
          <w:szCs w:val="32"/>
        </w:rPr>
        <w:t>%,增长的主要原因是</w:t>
      </w:r>
      <w:r>
        <w:rPr>
          <w:rFonts w:hint="eastAsia" w:asciiTheme="minorEastAsia" w:hAnsiTheme="minorEastAsia" w:eastAsiaTheme="minorEastAsia"/>
          <w:sz w:val="32"/>
          <w:szCs w:val="32"/>
          <w:lang w:eastAsia="zh-CN"/>
        </w:rPr>
        <w:t>增加了业务工作</w:t>
      </w:r>
      <w:r>
        <w:rPr>
          <w:rFonts w:hint="eastAsia" w:asciiTheme="minorEastAsia" w:hAnsiTheme="minorEastAsia" w:eastAsiaTheme="minorEastAsia"/>
          <w:sz w:val="32"/>
          <w:szCs w:val="32"/>
        </w:rPr>
        <w:t>。</w:t>
      </w:r>
    </w:p>
    <w:p>
      <w:pPr>
        <w:pStyle w:val="15"/>
        <w:ind w:firstLine="640" w:firstLineChars="20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lang w:eastAsia="zh-CN"/>
        </w:rPr>
        <w:t>本单位务公务车辆。</w:t>
      </w:r>
    </w:p>
    <w:p>
      <w:pPr>
        <w:pStyle w:val="15"/>
        <w:rPr>
          <w:rFonts w:asciiTheme="minorEastAsia" w:hAnsiTheme="minorEastAsia" w:eastAsiaTheme="minorEastAsia"/>
          <w:b/>
          <w:sz w:val="32"/>
          <w:szCs w:val="32"/>
        </w:rPr>
      </w:pPr>
      <w:r>
        <w:rPr>
          <w:rFonts w:hint="eastAsia" w:asciiTheme="minorEastAsia" w:hAnsiTheme="minorEastAsia" w:eastAsiaTheme="minorEastAsia"/>
          <w:b/>
          <w:sz w:val="32"/>
          <w:szCs w:val="32"/>
        </w:rPr>
        <w:t>（二）“三公”经费财政拨款支出决算具体情况说明</w:t>
      </w:r>
    </w:p>
    <w:p>
      <w:pPr>
        <w:pStyle w:val="15"/>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2019年度“三公”经费财政拨款支出决算中，公务接待费支出决算</w:t>
      </w:r>
      <w:r>
        <w:rPr>
          <w:rFonts w:hint="eastAsia" w:asciiTheme="minorEastAsia" w:hAnsiTheme="minorEastAsia" w:eastAsiaTheme="minorEastAsia"/>
          <w:sz w:val="32"/>
          <w:szCs w:val="32"/>
          <w:lang w:val="en-US" w:eastAsia="zh-CN"/>
        </w:rPr>
        <w:t>0.4</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6</w:t>
      </w:r>
      <w:r>
        <w:rPr>
          <w:rFonts w:hint="eastAsia" w:asciiTheme="minorEastAsia" w:hAnsiTheme="minorEastAsia" w:eastAsiaTheme="minorEastAsia"/>
          <w:sz w:val="32"/>
          <w:szCs w:val="32"/>
        </w:rPr>
        <w:t>%,公务用车运行维护费支出决算</w:t>
      </w:r>
      <w:r>
        <w:rPr>
          <w:rFonts w:hint="eastAsia" w:asciiTheme="minorEastAsia" w:hAnsiTheme="minorEastAsia" w:eastAsiaTheme="minorEastAsia"/>
          <w:sz w:val="32"/>
          <w:szCs w:val="32"/>
          <w:lang w:val="en-US" w:eastAsia="zh-CN"/>
        </w:rPr>
        <w:t>5.45</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94</w:t>
      </w:r>
      <w:r>
        <w:rPr>
          <w:rFonts w:hint="eastAsia" w:asciiTheme="minorEastAsia" w:hAnsiTheme="minorEastAsia" w:eastAsiaTheme="minorEastAsia"/>
          <w:sz w:val="32"/>
          <w:szCs w:val="32"/>
        </w:rPr>
        <w:t>%。其中：</w:t>
      </w:r>
    </w:p>
    <w:p>
      <w:pPr>
        <w:pStyle w:val="15"/>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lang w:val="en-US" w:eastAsia="zh-CN"/>
        </w:rPr>
        <w:t>1</w:t>
      </w:r>
      <w:r>
        <w:rPr>
          <w:rFonts w:hint="eastAsia" w:asciiTheme="minorEastAsia" w:hAnsiTheme="minorEastAsia" w:eastAsiaTheme="minorEastAsia"/>
          <w:sz w:val="32"/>
          <w:szCs w:val="32"/>
        </w:rPr>
        <w:t>、公务接待费支出决算为</w:t>
      </w:r>
      <w:r>
        <w:rPr>
          <w:rFonts w:hint="eastAsia" w:asciiTheme="minorEastAsia" w:hAnsiTheme="minorEastAsia" w:eastAsiaTheme="minorEastAsia"/>
          <w:sz w:val="32"/>
          <w:szCs w:val="32"/>
          <w:lang w:val="en-US" w:eastAsia="zh-CN"/>
        </w:rPr>
        <w:t>0.4</w:t>
      </w:r>
      <w:r>
        <w:rPr>
          <w:rFonts w:hint="eastAsia" w:asciiTheme="minorEastAsia" w:hAnsiTheme="minorEastAsia" w:eastAsiaTheme="minorEastAsia"/>
          <w:sz w:val="32"/>
          <w:szCs w:val="32"/>
        </w:rPr>
        <w:t>万元，全年共接待来访团组</w:t>
      </w:r>
      <w:r>
        <w:rPr>
          <w:rFonts w:hint="eastAsia" w:asciiTheme="minorEastAsia" w:hAnsiTheme="minorEastAsia" w:eastAsiaTheme="minorEastAsia"/>
          <w:sz w:val="32"/>
          <w:szCs w:val="32"/>
          <w:lang w:val="en-US" w:eastAsia="zh-CN"/>
        </w:rPr>
        <w:t>5</w:t>
      </w:r>
      <w:r>
        <w:rPr>
          <w:rFonts w:hint="eastAsia" w:asciiTheme="minorEastAsia" w:hAnsiTheme="minorEastAsia" w:eastAsiaTheme="minorEastAsia"/>
          <w:sz w:val="32"/>
          <w:szCs w:val="32"/>
        </w:rPr>
        <w:t>个、来宾</w:t>
      </w:r>
      <w:r>
        <w:rPr>
          <w:rFonts w:hint="eastAsia" w:asciiTheme="minorEastAsia" w:hAnsiTheme="minorEastAsia" w:eastAsiaTheme="minorEastAsia"/>
          <w:sz w:val="32"/>
          <w:szCs w:val="32"/>
          <w:lang w:val="en-US" w:eastAsia="zh-CN"/>
        </w:rPr>
        <w:t>70</w:t>
      </w:r>
      <w:r>
        <w:rPr>
          <w:rFonts w:hint="eastAsia" w:asciiTheme="minorEastAsia" w:hAnsiTheme="minorEastAsia" w:eastAsiaTheme="minorEastAsia"/>
          <w:sz w:val="32"/>
          <w:szCs w:val="32"/>
        </w:rPr>
        <w:t>人次，主要是</w:t>
      </w:r>
      <w:r>
        <w:rPr>
          <w:rFonts w:hint="eastAsia" w:asciiTheme="minorEastAsia" w:hAnsiTheme="minorEastAsia" w:eastAsiaTheme="minorEastAsia"/>
          <w:sz w:val="32"/>
          <w:szCs w:val="32"/>
          <w:lang w:eastAsia="zh-CN"/>
        </w:rPr>
        <w:t>劳模疗休养调研、商圈楼宇交流推进活动、调研“工匠”学院建设情况、以及基层工会办事</w:t>
      </w:r>
      <w:r>
        <w:rPr>
          <w:rFonts w:hint="eastAsia" w:asciiTheme="minorEastAsia" w:hAnsiTheme="minorEastAsia" w:eastAsiaTheme="minorEastAsia"/>
          <w:sz w:val="32"/>
          <w:szCs w:val="32"/>
        </w:rPr>
        <w:t>发生的接待支出。</w:t>
      </w:r>
    </w:p>
    <w:p>
      <w:pPr>
        <w:pStyle w:val="15"/>
        <w:ind w:firstLine="640" w:firstLineChars="200"/>
        <w:rPr>
          <w:rFonts w:hint="eastAsia" w:asciiTheme="minorEastAsia" w:hAnsiTheme="minorEastAsia" w:eastAsiaTheme="minorEastAsia"/>
          <w:sz w:val="32"/>
          <w:szCs w:val="32"/>
          <w:lang w:eastAsia="zh-CN"/>
        </w:rPr>
      </w:pPr>
      <w:r>
        <w:rPr>
          <w:rFonts w:hint="eastAsia" w:cs="黑体" w:asciiTheme="minorEastAsia" w:hAnsiTheme="minorEastAsia"/>
          <w:color w:val="000000"/>
          <w:kern w:val="0"/>
          <w:sz w:val="32"/>
          <w:szCs w:val="32"/>
          <w:lang w:val="en-US" w:eastAsia="zh-CN"/>
        </w:rPr>
        <w:t>2、</w:t>
      </w:r>
      <w:r>
        <w:rPr>
          <w:rFonts w:hint="eastAsia" w:asciiTheme="minorEastAsia" w:hAnsiTheme="minorEastAsia" w:eastAsiaTheme="minorEastAsia"/>
          <w:sz w:val="32"/>
          <w:szCs w:val="32"/>
          <w:lang w:eastAsia="zh-CN"/>
        </w:rPr>
        <w:t>本单位无公务车辆。</w:t>
      </w:r>
    </w:p>
    <w:p>
      <w:pPr>
        <w:pStyle w:val="15"/>
        <w:ind w:firstLine="640" w:firstLineChars="200"/>
        <w:rPr>
          <w:rFonts w:hAnsi="黑体"/>
          <w:b/>
          <w:sz w:val="32"/>
          <w:szCs w:val="32"/>
        </w:rPr>
      </w:pPr>
      <w:r>
        <w:rPr>
          <w:rFonts w:hint="eastAsia" w:hAnsi="黑体"/>
          <w:b/>
          <w:sz w:val="32"/>
          <w:szCs w:val="32"/>
          <w:lang w:eastAsia="zh-CN"/>
        </w:rPr>
        <w:t>八</w:t>
      </w:r>
      <w:r>
        <w:rPr>
          <w:rFonts w:hint="eastAsia" w:hAnsi="黑体"/>
          <w:b/>
          <w:sz w:val="32"/>
          <w:szCs w:val="32"/>
        </w:rPr>
        <w:t>、关于2019年度预算绩效情况说明</w:t>
      </w:r>
    </w:p>
    <w:p>
      <w:pPr>
        <w:bidi w:val="0"/>
        <w:ind w:firstLine="960" w:firstLineChars="300"/>
        <w:rPr>
          <w:rFonts w:hint="eastAsia"/>
          <w:sz w:val="32"/>
          <w:szCs w:val="32"/>
        </w:rPr>
      </w:pPr>
      <w:r>
        <w:rPr>
          <w:rFonts w:hint="eastAsia"/>
          <w:sz w:val="32"/>
          <w:szCs w:val="32"/>
        </w:rPr>
        <w:t>绩效情况说明：201</w:t>
      </w:r>
      <w:r>
        <w:rPr>
          <w:rFonts w:hint="eastAsia"/>
          <w:sz w:val="32"/>
          <w:szCs w:val="32"/>
          <w:lang w:val="en-US" w:eastAsia="zh-CN"/>
        </w:rPr>
        <w:t>9</w:t>
      </w:r>
      <w:r>
        <w:rPr>
          <w:rFonts w:hint="eastAsia"/>
          <w:sz w:val="32"/>
          <w:szCs w:val="32"/>
        </w:rPr>
        <w:t>年总工会</w:t>
      </w:r>
      <w:r>
        <w:rPr>
          <w:sz w:val="32"/>
          <w:szCs w:val="32"/>
        </w:rPr>
        <w:t>在区委、区政府的领导下，领导班子带领干部职工，根据201</w:t>
      </w:r>
      <w:r>
        <w:rPr>
          <w:rFonts w:hint="eastAsia"/>
          <w:sz w:val="32"/>
          <w:szCs w:val="32"/>
          <w:lang w:val="en-US" w:eastAsia="zh-CN"/>
        </w:rPr>
        <w:t>9</w:t>
      </w:r>
      <w:r>
        <w:rPr>
          <w:sz w:val="32"/>
          <w:szCs w:val="32"/>
        </w:rPr>
        <w:t>年工作计划及重点，对照年初绩效考核目标任务，主动作为、务实奋进、切实履行职责，狠抓工作落实，各项工作有序推进，较好地完成了年初确定的各项工作任务。1、</w:t>
      </w:r>
      <w:r>
        <w:rPr>
          <w:rFonts w:hint="eastAsia"/>
          <w:sz w:val="32"/>
          <w:szCs w:val="32"/>
        </w:rPr>
        <w:t>组织开展丰富多彩的职工文体活动。2.广泛开展职业技能竞赛。3.扎实推进工资集体协商。4、组织开展“送清凉”、“送温暖”等活动。5.开展免费职业技能培训。6.积极推行职工普惠服务。7.精准精细帮扶服务职工。8.扩大工会组织覆盖面。9.开展各类创建评比活动10.加强职工文化阵地建设。</w:t>
      </w:r>
    </w:p>
    <w:p>
      <w:pPr>
        <w:pStyle w:val="15"/>
        <w:ind w:firstLine="640" w:firstLineChars="200"/>
        <w:rPr>
          <w:rFonts w:hAnsi="黑体"/>
          <w:b/>
          <w:sz w:val="32"/>
          <w:szCs w:val="32"/>
        </w:rPr>
      </w:pPr>
      <w:r>
        <w:rPr>
          <w:rFonts w:hint="eastAsia" w:hAnsi="黑体"/>
          <w:b/>
          <w:sz w:val="32"/>
          <w:szCs w:val="32"/>
          <w:lang w:eastAsia="zh-CN"/>
        </w:rPr>
        <w:t>九</w:t>
      </w:r>
      <w:r>
        <w:rPr>
          <w:rFonts w:hint="eastAsia" w:hAnsi="黑体"/>
          <w:b/>
          <w:sz w:val="32"/>
          <w:szCs w:val="32"/>
        </w:rPr>
        <w:t>、其他重要事项情况说明</w:t>
      </w:r>
    </w:p>
    <w:p>
      <w:pPr>
        <w:ind w:firstLine="480" w:firstLineChars="150"/>
        <w:rPr>
          <w:rFonts w:cs="黑体" w:asciiTheme="minorEastAsia" w:hAnsiTheme="minorEastAsia"/>
          <w:b/>
          <w:color w:val="000000"/>
          <w:kern w:val="0"/>
          <w:sz w:val="32"/>
          <w:szCs w:val="32"/>
        </w:rPr>
      </w:pPr>
      <w:r>
        <w:rPr>
          <w:rFonts w:hint="eastAsia" w:cs="黑体" w:asciiTheme="minorEastAsia" w:hAnsiTheme="minorEastAsia"/>
          <w:b/>
          <w:color w:val="000000"/>
          <w:kern w:val="0"/>
          <w:sz w:val="32"/>
          <w:szCs w:val="32"/>
        </w:rPr>
        <w:t>（一）机关运行经费支出情况</w:t>
      </w:r>
    </w:p>
    <w:p>
      <w:pPr>
        <w:ind w:firstLine="640" w:firstLineChars="200"/>
        <w:rPr>
          <w:rFonts w:hint="eastAsia" w:cs="黑体" w:asciiTheme="minorEastAsia" w:hAnsiTheme="minorEastAsia" w:eastAsiaTheme="minorEastAsia"/>
          <w:color w:val="000000"/>
          <w:kern w:val="0"/>
          <w:sz w:val="32"/>
          <w:szCs w:val="32"/>
          <w:lang w:eastAsia="zh-CN"/>
        </w:rPr>
      </w:pPr>
      <w:r>
        <w:rPr>
          <w:rFonts w:hint="eastAsia" w:cs="黑体" w:asciiTheme="minorEastAsia" w:hAnsiTheme="minorEastAsia"/>
          <w:color w:val="000000"/>
          <w:kern w:val="0"/>
          <w:sz w:val="32"/>
          <w:szCs w:val="32"/>
        </w:rPr>
        <w:t>本部门2019 年度机关运行经费支出</w:t>
      </w:r>
      <w:r>
        <w:rPr>
          <w:rFonts w:hint="eastAsia" w:cs="黑体" w:asciiTheme="minorEastAsia" w:hAnsiTheme="minorEastAsia"/>
          <w:color w:val="000000"/>
          <w:kern w:val="0"/>
          <w:sz w:val="32"/>
          <w:szCs w:val="32"/>
          <w:lang w:val="en-US" w:eastAsia="zh-CN"/>
        </w:rPr>
        <w:t>2.96</w:t>
      </w:r>
      <w:r>
        <w:rPr>
          <w:rFonts w:hint="eastAsia" w:cs="黑体" w:asciiTheme="minorEastAsia" w:hAnsiTheme="minorEastAsia"/>
          <w:color w:val="000000"/>
          <w:kern w:val="0"/>
          <w:sz w:val="32"/>
          <w:szCs w:val="32"/>
        </w:rPr>
        <w:t>万元比年初预算数减少</w:t>
      </w:r>
      <w:r>
        <w:rPr>
          <w:rFonts w:hint="eastAsia" w:cs="黑体" w:asciiTheme="minorEastAsia" w:hAnsiTheme="minorEastAsia"/>
          <w:color w:val="000000"/>
          <w:kern w:val="0"/>
          <w:sz w:val="32"/>
          <w:szCs w:val="32"/>
          <w:lang w:val="en-US" w:eastAsia="zh-CN"/>
        </w:rPr>
        <w:t>6.64</w:t>
      </w:r>
      <w:r>
        <w:rPr>
          <w:rFonts w:hint="eastAsia" w:cs="黑体" w:asciiTheme="minorEastAsia" w:hAnsiTheme="minorEastAsia"/>
          <w:color w:val="000000"/>
          <w:kern w:val="0"/>
          <w:sz w:val="32"/>
          <w:szCs w:val="32"/>
        </w:rPr>
        <w:t>万元，降低</w:t>
      </w:r>
      <w:r>
        <w:rPr>
          <w:rFonts w:hint="eastAsia" w:cs="黑体" w:asciiTheme="minorEastAsia" w:hAnsiTheme="minorEastAsia"/>
          <w:color w:val="000000"/>
          <w:kern w:val="0"/>
          <w:sz w:val="32"/>
          <w:szCs w:val="32"/>
          <w:lang w:val="en-US" w:eastAsia="zh-CN"/>
        </w:rPr>
        <w:t>69</w:t>
      </w:r>
      <w:r>
        <w:rPr>
          <w:rFonts w:hint="eastAsia" w:cs="黑体" w:asciiTheme="minorEastAsia" w:hAnsiTheme="minorEastAsia"/>
          <w:color w:val="000000"/>
          <w:kern w:val="0"/>
          <w:sz w:val="32"/>
          <w:szCs w:val="32"/>
        </w:rPr>
        <w:t>%。主要原因是：</w:t>
      </w:r>
      <w:r>
        <w:rPr>
          <w:rFonts w:hint="eastAsia" w:cs="黑体" w:asciiTheme="minorEastAsia" w:hAnsiTheme="minorEastAsia"/>
          <w:color w:val="000000"/>
          <w:kern w:val="0"/>
          <w:sz w:val="32"/>
          <w:szCs w:val="32"/>
          <w:lang w:eastAsia="zh-CN"/>
        </w:rPr>
        <w:t>办公费、会议费、其他商品服务支出在项目费用中支出。</w:t>
      </w:r>
    </w:p>
    <w:p>
      <w:pPr>
        <w:ind w:firstLine="640" w:firstLineChars="200"/>
        <w:rPr>
          <w:rFonts w:hint="eastAsia" w:cs="黑体" w:asciiTheme="minorEastAsia" w:hAnsiTheme="minorEastAsia"/>
          <w:b/>
          <w:color w:val="000000"/>
          <w:kern w:val="0"/>
          <w:sz w:val="32"/>
          <w:szCs w:val="32"/>
        </w:rPr>
      </w:pPr>
      <w:r>
        <w:rPr>
          <w:rFonts w:hint="eastAsia" w:cs="黑体" w:asciiTheme="minorEastAsia" w:hAnsiTheme="minorEastAsia"/>
          <w:b/>
          <w:color w:val="000000"/>
          <w:kern w:val="0"/>
          <w:sz w:val="32"/>
          <w:szCs w:val="32"/>
        </w:rPr>
        <w:t>（二）一般性支出情况</w:t>
      </w:r>
    </w:p>
    <w:p>
      <w:pPr>
        <w:ind w:firstLine="640" w:firstLineChars="200"/>
        <w:rPr>
          <w:rFonts w:hint="eastAsia" w:cs="黑体" w:asciiTheme="minorEastAsia" w:hAnsiTheme="minorEastAsia"/>
          <w:color w:val="000000"/>
          <w:kern w:val="0"/>
          <w:sz w:val="32"/>
          <w:szCs w:val="32"/>
          <w:lang w:eastAsia="zh-CN"/>
        </w:rPr>
      </w:pPr>
      <w:r>
        <w:rPr>
          <w:rFonts w:hint="eastAsia" w:cs="黑体" w:asciiTheme="minorEastAsia" w:hAnsiTheme="minorEastAsia"/>
          <w:color w:val="000000"/>
          <w:kern w:val="0"/>
          <w:sz w:val="32"/>
          <w:szCs w:val="32"/>
        </w:rPr>
        <w:t>2019年本部门开支会议费</w:t>
      </w:r>
      <w:r>
        <w:rPr>
          <w:rFonts w:hint="eastAsia" w:cs="黑体" w:asciiTheme="minorEastAsia" w:hAnsiTheme="minorEastAsia"/>
          <w:color w:val="000000"/>
          <w:kern w:val="0"/>
          <w:sz w:val="32"/>
          <w:szCs w:val="32"/>
          <w:lang w:val="en-US" w:eastAsia="zh-CN"/>
        </w:rPr>
        <w:t>0.4</w:t>
      </w:r>
      <w:r>
        <w:rPr>
          <w:rFonts w:hint="eastAsia" w:cs="黑体" w:asciiTheme="minorEastAsia" w:hAnsiTheme="minorEastAsia"/>
          <w:color w:val="000000"/>
          <w:kern w:val="0"/>
          <w:sz w:val="32"/>
          <w:szCs w:val="32"/>
        </w:rPr>
        <w:t>万元，用于召开</w:t>
      </w:r>
      <w:r>
        <w:rPr>
          <w:rFonts w:hint="eastAsia" w:cs="黑体" w:asciiTheme="minorEastAsia" w:hAnsiTheme="minorEastAsia"/>
          <w:color w:val="000000"/>
          <w:kern w:val="0"/>
          <w:sz w:val="32"/>
          <w:szCs w:val="32"/>
          <w:lang w:eastAsia="zh-CN"/>
        </w:rPr>
        <w:t>医疗互助、工资集体协商</w:t>
      </w:r>
      <w:r>
        <w:rPr>
          <w:rFonts w:hint="eastAsia" w:cs="黑体" w:asciiTheme="minorEastAsia" w:hAnsiTheme="minorEastAsia"/>
          <w:color w:val="000000"/>
          <w:kern w:val="0"/>
          <w:sz w:val="32"/>
          <w:szCs w:val="32"/>
        </w:rPr>
        <w:t>会议，人数</w:t>
      </w:r>
      <w:r>
        <w:rPr>
          <w:rFonts w:hint="eastAsia" w:cs="黑体" w:asciiTheme="minorEastAsia" w:hAnsiTheme="minorEastAsia"/>
          <w:color w:val="000000"/>
          <w:kern w:val="0"/>
          <w:sz w:val="32"/>
          <w:szCs w:val="32"/>
          <w:lang w:val="en-US" w:eastAsia="zh-CN"/>
        </w:rPr>
        <w:t>270</w:t>
      </w:r>
      <w:r>
        <w:rPr>
          <w:rFonts w:hint="eastAsia" w:cs="黑体" w:asciiTheme="minorEastAsia" w:hAnsiTheme="minorEastAsia"/>
          <w:color w:val="000000"/>
          <w:kern w:val="0"/>
          <w:sz w:val="32"/>
          <w:szCs w:val="32"/>
        </w:rPr>
        <w:t>人</w:t>
      </w:r>
      <w:r>
        <w:rPr>
          <w:rFonts w:hint="eastAsia" w:cs="黑体" w:asciiTheme="minorEastAsia" w:hAnsiTheme="minorEastAsia"/>
          <w:color w:val="000000"/>
          <w:kern w:val="0"/>
          <w:sz w:val="32"/>
          <w:szCs w:val="32"/>
          <w:lang w:eastAsia="zh-CN"/>
        </w:rPr>
        <w:t>。</w:t>
      </w:r>
    </w:p>
    <w:p>
      <w:pPr>
        <w:ind w:firstLine="640" w:firstLineChars="200"/>
        <w:rPr>
          <w:rFonts w:cs="黑体" w:asciiTheme="minorEastAsia" w:hAnsiTheme="minorEastAsia"/>
          <w:b/>
          <w:color w:val="000000"/>
          <w:kern w:val="0"/>
          <w:sz w:val="32"/>
          <w:szCs w:val="32"/>
        </w:rPr>
      </w:pPr>
      <w:r>
        <w:rPr>
          <w:rFonts w:hint="eastAsia" w:cs="黑体" w:asciiTheme="minorEastAsia" w:hAnsiTheme="minorEastAsia"/>
          <w:b/>
          <w:color w:val="000000"/>
          <w:kern w:val="0"/>
          <w:sz w:val="32"/>
          <w:szCs w:val="32"/>
        </w:rPr>
        <w:t>（三）政府采购支出情况</w:t>
      </w:r>
    </w:p>
    <w:p>
      <w:pPr>
        <w:ind w:firstLine="640" w:firstLineChars="200"/>
        <w:rPr>
          <w:rFonts w:hint="eastAsia" w:cs="黑体" w:asciiTheme="minorEastAsia" w:hAnsiTheme="minorEastAsia" w:eastAsiaTheme="minorEastAsia"/>
          <w:i/>
          <w:color w:val="FF0000"/>
          <w:kern w:val="0"/>
          <w:sz w:val="32"/>
          <w:szCs w:val="32"/>
          <w:lang w:val="en-US" w:eastAsia="zh-CN"/>
        </w:rPr>
      </w:pPr>
      <w:r>
        <w:rPr>
          <w:rFonts w:hint="eastAsia" w:cs="黑体" w:asciiTheme="minorEastAsia" w:hAnsiTheme="minorEastAsia"/>
          <w:color w:val="000000"/>
          <w:kern w:val="0"/>
          <w:sz w:val="32"/>
          <w:szCs w:val="32"/>
        </w:rPr>
        <w:t>本部门2019年度政府采购支出总额</w:t>
      </w:r>
      <w:r>
        <w:rPr>
          <w:rFonts w:hint="eastAsia" w:cs="黑体" w:asciiTheme="minorEastAsia" w:hAnsiTheme="minorEastAsia"/>
          <w:color w:val="000000"/>
          <w:kern w:val="0"/>
          <w:sz w:val="32"/>
          <w:szCs w:val="32"/>
          <w:lang w:val="en-US" w:eastAsia="zh-CN"/>
        </w:rPr>
        <w:t>6</w:t>
      </w:r>
      <w:r>
        <w:rPr>
          <w:rFonts w:hint="eastAsia" w:cs="黑体" w:asciiTheme="minorEastAsia" w:hAnsiTheme="minorEastAsia"/>
          <w:color w:val="000000"/>
          <w:kern w:val="0"/>
          <w:sz w:val="32"/>
          <w:szCs w:val="32"/>
        </w:rPr>
        <w:t>万元，其中：政府采购货物支出</w:t>
      </w:r>
      <w:r>
        <w:rPr>
          <w:rFonts w:hint="eastAsia" w:cs="黑体" w:asciiTheme="minorEastAsia" w:hAnsiTheme="minorEastAsia"/>
          <w:color w:val="000000"/>
          <w:kern w:val="0"/>
          <w:sz w:val="32"/>
          <w:szCs w:val="32"/>
          <w:lang w:val="en-US" w:eastAsia="zh-CN"/>
        </w:rPr>
        <w:t>3.04</w:t>
      </w:r>
      <w:r>
        <w:rPr>
          <w:rFonts w:hint="eastAsia" w:cs="黑体" w:asciiTheme="minorEastAsia" w:hAnsiTheme="minorEastAsia"/>
          <w:color w:val="000000"/>
          <w:kern w:val="0"/>
          <w:sz w:val="32"/>
          <w:szCs w:val="32"/>
        </w:rPr>
        <w:t>万元、占政府采购支出总额的</w:t>
      </w:r>
      <w:r>
        <w:rPr>
          <w:rFonts w:hint="eastAsia" w:cs="黑体" w:asciiTheme="minorEastAsia" w:hAnsiTheme="minorEastAsia"/>
          <w:color w:val="000000"/>
          <w:kern w:val="0"/>
          <w:sz w:val="32"/>
          <w:szCs w:val="32"/>
          <w:lang w:val="en-US" w:eastAsia="zh-CN"/>
        </w:rPr>
        <w:t>50</w:t>
      </w:r>
      <w:r>
        <w:rPr>
          <w:rFonts w:hint="eastAsia" w:cs="黑体" w:asciiTheme="minorEastAsia" w:hAnsiTheme="minorEastAsia"/>
          <w:color w:val="000000"/>
          <w:kern w:val="0"/>
          <w:sz w:val="32"/>
          <w:szCs w:val="32"/>
        </w:rPr>
        <w:t>%</w:t>
      </w:r>
      <w:r>
        <w:rPr>
          <w:rFonts w:hint="eastAsia" w:cs="黑体" w:asciiTheme="minorEastAsia" w:hAnsiTheme="minorEastAsia"/>
          <w:color w:val="000000"/>
          <w:kern w:val="0"/>
          <w:sz w:val="32"/>
          <w:szCs w:val="32"/>
          <w:lang w:eastAsia="zh-CN"/>
        </w:rPr>
        <w:t>。</w:t>
      </w:r>
    </w:p>
    <w:p>
      <w:pPr>
        <w:ind w:firstLine="480" w:firstLineChars="150"/>
        <w:rPr>
          <w:rFonts w:cs="黑体" w:asciiTheme="minorEastAsia" w:hAnsiTheme="minorEastAsia"/>
          <w:b/>
          <w:color w:val="000000"/>
          <w:kern w:val="0"/>
          <w:sz w:val="32"/>
          <w:szCs w:val="32"/>
        </w:rPr>
      </w:pPr>
      <w:r>
        <w:rPr>
          <w:rFonts w:hint="eastAsia" w:cs="黑体" w:asciiTheme="minorEastAsia" w:hAnsiTheme="minorEastAsia"/>
          <w:b/>
          <w:color w:val="000000"/>
          <w:kern w:val="0"/>
          <w:sz w:val="32"/>
          <w:szCs w:val="32"/>
        </w:rPr>
        <w:t>（四）国有资产占用情况</w:t>
      </w:r>
    </w:p>
    <w:p>
      <w:pPr>
        <w:ind w:firstLine="640" w:firstLineChars="200"/>
        <w:rPr>
          <w:rFonts w:cs="黑体" w:asciiTheme="minorEastAsia" w:hAnsiTheme="minorEastAsia"/>
          <w:color w:val="000000"/>
          <w:kern w:val="0"/>
          <w:sz w:val="32"/>
          <w:szCs w:val="32"/>
        </w:rPr>
      </w:pPr>
      <w:r>
        <w:rPr>
          <w:rFonts w:hint="eastAsia" w:cs="黑体" w:asciiTheme="minorEastAsia" w:hAnsiTheme="minorEastAsia"/>
          <w:color w:val="000000"/>
          <w:kern w:val="0"/>
          <w:sz w:val="32"/>
          <w:szCs w:val="32"/>
        </w:rPr>
        <w:t>截至2019年12月31日，本单位</w:t>
      </w:r>
      <w:r>
        <w:rPr>
          <w:rFonts w:hint="eastAsia" w:cs="黑体" w:asciiTheme="minorEastAsia" w:hAnsiTheme="minorEastAsia"/>
          <w:color w:val="000000"/>
          <w:kern w:val="0"/>
          <w:sz w:val="32"/>
          <w:szCs w:val="32"/>
          <w:lang w:eastAsia="zh-CN"/>
        </w:rPr>
        <w:t>无公务车辆</w:t>
      </w:r>
      <w:r>
        <w:rPr>
          <w:rFonts w:hint="eastAsia" w:cs="黑体" w:asciiTheme="minorEastAsia" w:hAnsiTheme="minorEastAsia"/>
          <w:color w:val="000000"/>
          <w:kern w:val="0"/>
          <w:sz w:val="32"/>
          <w:szCs w:val="32"/>
        </w:rPr>
        <w:t>。</w:t>
      </w:r>
    </w:p>
    <w:p>
      <w:pPr>
        <w:widowControl/>
        <w:jc w:val="left"/>
        <w:rPr>
          <w:rFonts w:cs="黑体" w:asciiTheme="minorEastAsia" w:hAnsiTheme="minorEastAsia"/>
          <w:color w:val="000000"/>
          <w:kern w:val="0"/>
          <w:sz w:val="32"/>
          <w:szCs w:val="32"/>
        </w:rPr>
      </w:pPr>
      <w:r>
        <w:rPr>
          <w:rFonts w:cs="黑体" w:asciiTheme="minorEastAsia" w:hAnsiTheme="minorEastAsia"/>
          <w:color w:val="000000"/>
          <w:kern w:val="0"/>
          <w:sz w:val="32"/>
          <w:szCs w:val="32"/>
        </w:rPr>
        <w:br w:type="page"/>
      </w:r>
    </w:p>
    <w:p>
      <w:pPr>
        <w:pStyle w:val="15"/>
        <w:ind w:firstLine="320" w:firstLineChars="100"/>
        <w:jc w:val="both"/>
        <w:rPr>
          <w:rFonts w:ascii="黑体" w:eastAsia="黑体" w:cs="黑体"/>
          <w:b/>
          <w:bCs/>
          <w:color w:val="000000"/>
          <w:kern w:val="0"/>
          <w:sz w:val="32"/>
          <w:szCs w:val="32"/>
        </w:rPr>
      </w:pPr>
      <w:r>
        <w:rPr>
          <w:rFonts w:hint="eastAsia"/>
          <w:b/>
          <w:bCs/>
          <w:sz w:val="32"/>
          <w:szCs w:val="32"/>
        </w:rPr>
        <w:t>第</w:t>
      </w:r>
      <w:r>
        <w:rPr>
          <w:rFonts w:hint="eastAsia"/>
          <w:b/>
          <w:bCs/>
          <w:sz w:val="32"/>
          <w:szCs w:val="32"/>
          <w:lang w:eastAsia="zh-CN"/>
        </w:rPr>
        <w:t>四部分</w:t>
      </w:r>
      <w:r>
        <w:rPr>
          <w:rFonts w:hint="eastAsia"/>
          <w:b/>
          <w:bCs/>
          <w:sz w:val="32"/>
          <w:szCs w:val="32"/>
          <w:lang w:val="en-US" w:eastAsia="zh-CN"/>
        </w:rPr>
        <w:t xml:space="preserve">  </w:t>
      </w:r>
      <w:r>
        <w:rPr>
          <w:rFonts w:hint="eastAsia" w:ascii="黑体" w:eastAsia="黑体" w:cs="黑体"/>
          <w:b/>
          <w:bCs/>
          <w:color w:val="000000"/>
          <w:kern w:val="0"/>
          <w:sz w:val="32"/>
          <w:szCs w:val="32"/>
        </w:rPr>
        <w:t>名词解释</w:t>
      </w:r>
    </w:p>
    <w:p>
      <w:pPr>
        <w:bidi w:val="0"/>
        <w:ind w:firstLine="640" w:firstLineChars="200"/>
        <w:rPr>
          <w:rFonts w:hint="eastAsia"/>
          <w:sz w:val="32"/>
          <w:szCs w:val="32"/>
        </w:rPr>
      </w:pPr>
      <w:r>
        <w:rPr>
          <w:rFonts w:hint="eastAsia"/>
          <w:b/>
          <w:bCs/>
          <w:sz w:val="32"/>
          <w:szCs w:val="32"/>
          <w:lang w:eastAsia="zh-CN"/>
        </w:rPr>
        <w:t>一</w:t>
      </w:r>
      <w:r>
        <w:rPr>
          <w:rFonts w:hint="eastAsia"/>
          <w:b/>
          <w:bCs/>
          <w:sz w:val="32"/>
          <w:szCs w:val="32"/>
        </w:rPr>
        <w:t>、机关运行经费</w:t>
      </w:r>
      <w:r>
        <w:rPr>
          <w:rFonts w:hint="eastAsia"/>
          <w:sz w:val="32"/>
          <w:szCs w:val="32"/>
        </w:rPr>
        <w:t>：是指办公及印刷费、邮电费、差旅费、会议费、福利费、日常维修费、专用资料及一般设备购置费、办公用房水电费、办公用房取暖费、办公用房物业管理费、公务用车运行维护费以及其他费用。</w:t>
      </w:r>
    </w:p>
    <w:p>
      <w:pPr>
        <w:bidi w:val="0"/>
        <w:ind w:firstLine="640" w:firstLineChars="200"/>
        <w:rPr>
          <w:rFonts w:hint="eastAsia"/>
          <w:sz w:val="32"/>
          <w:szCs w:val="32"/>
        </w:rPr>
      </w:pPr>
      <w:r>
        <w:rPr>
          <w:rFonts w:hint="eastAsia"/>
          <w:b/>
          <w:bCs/>
          <w:sz w:val="32"/>
          <w:szCs w:val="32"/>
          <w:lang w:eastAsia="zh-CN"/>
        </w:rPr>
        <w:t>二</w:t>
      </w:r>
      <w:r>
        <w:rPr>
          <w:rFonts w:hint="eastAsia"/>
          <w:b/>
          <w:bCs/>
          <w:sz w:val="32"/>
          <w:szCs w:val="32"/>
        </w:rPr>
        <w:t>、“三公”经费</w:t>
      </w:r>
      <w:r>
        <w:rPr>
          <w:rFonts w:hint="eastAsia"/>
          <w:sz w:val="32"/>
          <w:szCs w:val="32"/>
        </w:rPr>
        <w:t>：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食宿费等支出。</w:t>
      </w:r>
    </w:p>
    <w:p>
      <w:pPr>
        <w:widowControl/>
        <w:ind w:firstLine="320" w:firstLineChars="100"/>
        <w:jc w:val="left"/>
        <w:rPr>
          <w:rFonts w:ascii="黑体" w:eastAsia="黑体" w:cs="黑体"/>
          <w:b/>
          <w:bCs/>
          <w:color w:val="000000"/>
          <w:kern w:val="0"/>
          <w:sz w:val="32"/>
          <w:szCs w:val="32"/>
        </w:rPr>
      </w:pPr>
      <w:r>
        <w:rPr>
          <w:rFonts w:hint="eastAsia"/>
          <w:b/>
          <w:bCs/>
          <w:sz w:val="32"/>
          <w:szCs w:val="32"/>
        </w:rPr>
        <w:t>第五部分</w:t>
      </w:r>
      <w:r>
        <w:rPr>
          <w:rFonts w:hint="eastAsia"/>
          <w:b/>
          <w:bCs/>
          <w:sz w:val="32"/>
          <w:szCs w:val="32"/>
          <w:lang w:val="en-US" w:eastAsia="zh-CN"/>
        </w:rPr>
        <w:t xml:space="preserve">  </w:t>
      </w:r>
      <w:r>
        <w:rPr>
          <w:rFonts w:hint="eastAsia" w:ascii="黑体" w:eastAsia="黑体" w:cs="黑体"/>
          <w:b/>
          <w:bCs/>
          <w:color w:val="000000"/>
          <w:kern w:val="0"/>
          <w:sz w:val="32"/>
          <w:szCs w:val="32"/>
        </w:rPr>
        <w:t>附件</w:t>
      </w:r>
    </w:p>
    <w:p>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pPr>
        <w:jc w:val="center"/>
        <w:rPr>
          <w:rFonts w:ascii="黑体" w:eastAsia="黑体" w:cs="黑体"/>
          <w:color w:val="000000"/>
          <w:kern w:val="0"/>
          <w:sz w:val="70"/>
          <w:szCs w:val="70"/>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 w:hAnsi="仿宋" w:eastAsia="仿宋" w:cs="仿宋"/>
          <w:b/>
          <w:bCs/>
          <w:sz w:val="48"/>
          <w:szCs w:val="48"/>
          <w:lang w:val="en-US" w:eastAsia="zh-CN"/>
        </w:rPr>
      </w:pPr>
      <w:r>
        <w:rPr>
          <w:rFonts w:hint="eastAsia" w:ascii="仿宋" w:hAnsi="仿宋" w:eastAsia="仿宋" w:cs="仿宋"/>
          <w:b/>
          <w:bCs/>
          <w:sz w:val="48"/>
          <w:szCs w:val="48"/>
          <w:lang w:val="en-US" w:eastAsia="zh-CN"/>
        </w:rPr>
        <w:t>2019</w:t>
      </w:r>
      <w:r>
        <w:rPr>
          <w:rFonts w:hint="eastAsia" w:ascii="仿宋" w:hAnsi="仿宋" w:eastAsia="仿宋" w:cs="仿宋"/>
          <w:b/>
          <w:bCs/>
          <w:sz w:val="48"/>
          <w:szCs w:val="48"/>
        </w:rPr>
        <w:t>年度</w:t>
      </w:r>
      <w:r>
        <w:rPr>
          <w:rFonts w:hint="eastAsia" w:ascii="仿宋" w:hAnsi="仿宋" w:eastAsia="仿宋" w:cs="仿宋"/>
          <w:b/>
          <w:bCs/>
          <w:sz w:val="48"/>
          <w:szCs w:val="48"/>
          <w:lang w:val="en-US" w:eastAsia="zh-CN"/>
        </w:rPr>
        <w:t>长沙市望城区总工会</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 w:hAnsi="仿宋" w:eastAsia="仿宋" w:cs="仿宋"/>
          <w:sz w:val="40"/>
          <w:szCs w:val="40"/>
        </w:rPr>
      </w:pPr>
      <w:r>
        <w:rPr>
          <w:rFonts w:hint="eastAsia" w:ascii="仿宋" w:hAnsi="仿宋" w:eastAsia="仿宋" w:cs="仿宋"/>
          <w:b/>
          <w:bCs/>
          <w:sz w:val="48"/>
          <w:szCs w:val="48"/>
        </w:rPr>
        <w:t>部门整体支出预算绩效自评报告</w:t>
      </w:r>
    </w:p>
    <w:p>
      <w:pPr>
        <w:spacing w:line="600" w:lineRule="exact"/>
        <w:jc w:val="center"/>
        <w:rPr>
          <w:rFonts w:hint="eastAsia" w:ascii="仿宋" w:hAnsi="仿宋" w:eastAsia="仿宋" w:cs="仿宋"/>
          <w:b/>
          <w:sz w:val="30"/>
          <w:szCs w:val="30"/>
        </w:rPr>
      </w:pPr>
    </w:p>
    <w:p>
      <w:pPr>
        <w:pageBreakBefore w:val="0"/>
        <w:widowControl w:val="0"/>
        <w:kinsoku/>
        <w:wordWrap/>
        <w:overflowPunct/>
        <w:topLinePunct w:val="0"/>
        <w:autoSpaceDE/>
        <w:autoSpaceDN/>
        <w:bidi w:val="0"/>
        <w:adjustRightInd/>
        <w:snapToGrid/>
        <w:spacing w:line="360" w:lineRule="auto"/>
        <w:ind w:firstLine="600" w:firstLineChars="200"/>
        <w:textAlignment w:val="auto"/>
        <w:rPr>
          <w:rFonts w:hint="eastAsia" w:ascii="仿宋" w:hAnsi="仿宋" w:eastAsia="仿宋" w:cs="仿宋"/>
          <w:sz w:val="30"/>
          <w:szCs w:val="30"/>
        </w:rPr>
      </w:pPr>
      <w:r>
        <w:rPr>
          <w:rFonts w:hint="eastAsia" w:ascii="仿宋" w:hAnsi="仿宋" w:eastAsia="仿宋" w:cs="仿宋"/>
          <w:color w:val="auto"/>
          <w:sz w:val="30"/>
          <w:szCs w:val="30"/>
          <w:highlight w:val="none"/>
        </w:rPr>
        <w:t>为加强财政支出管理，强化项目单位责任意识，进一步完善专项资金管理，提高财政资金使用效益，根据财政部《中共中央国务院关于全面实施预算绩效管理的意见》（中发〔2018〕34号）和《中共湖南省委办公厅湖南省人民政府办公厅关于全面实施预算绩效管理的实施意见》（湘办发〔2019〕10号），以及长沙市望城区财政局关于开展2019年度区级财政预算绩效自评工作的通知（</w:t>
      </w:r>
      <w:r>
        <w:rPr>
          <w:rFonts w:hint="eastAsia" w:ascii="仿宋" w:hAnsi="仿宋" w:eastAsia="仿宋" w:cs="仿宋"/>
          <w:color w:val="auto"/>
          <w:sz w:val="30"/>
          <w:szCs w:val="30"/>
          <w:highlight w:val="none"/>
          <w:lang w:val="en-US" w:eastAsia="zh-CN"/>
        </w:rPr>
        <w:t>望</w:t>
      </w:r>
      <w:r>
        <w:rPr>
          <w:rFonts w:hint="eastAsia" w:ascii="仿宋" w:hAnsi="仿宋" w:eastAsia="仿宋" w:cs="仿宋"/>
          <w:color w:val="auto"/>
          <w:sz w:val="30"/>
          <w:szCs w:val="30"/>
          <w:highlight w:val="none"/>
        </w:rPr>
        <w:t>财绩〔20</w:t>
      </w:r>
      <w:r>
        <w:rPr>
          <w:rFonts w:hint="eastAsia" w:ascii="仿宋" w:hAnsi="仿宋" w:eastAsia="仿宋" w:cs="仿宋"/>
          <w:color w:val="auto"/>
          <w:sz w:val="30"/>
          <w:szCs w:val="30"/>
          <w:highlight w:val="none"/>
          <w:lang w:val="en-US" w:eastAsia="zh-CN"/>
        </w:rPr>
        <w:t>20</w:t>
      </w:r>
      <w:r>
        <w:rPr>
          <w:rFonts w:hint="eastAsia" w:ascii="仿宋" w:hAnsi="仿宋" w:eastAsia="仿宋" w:cs="仿宋"/>
          <w:color w:val="auto"/>
          <w:sz w:val="30"/>
          <w:szCs w:val="30"/>
          <w:highlight w:val="none"/>
        </w:rPr>
        <w:t>〕</w:t>
      </w:r>
      <w:r>
        <w:rPr>
          <w:rFonts w:hint="eastAsia" w:ascii="仿宋" w:hAnsi="仿宋" w:eastAsia="仿宋" w:cs="仿宋"/>
          <w:color w:val="auto"/>
          <w:sz w:val="30"/>
          <w:szCs w:val="30"/>
          <w:highlight w:val="none"/>
          <w:lang w:val="en-US" w:eastAsia="zh-CN"/>
        </w:rPr>
        <w:t>5</w:t>
      </w:r>
      <w:r>
        <w:rPr>
          <w:rFonts w:hint="eastAsia" w:ascii="仿宋" w:hAnsi="仿宋" w:eastAsia="仿宋" w:cs="仿宋"/>
          <w:color w:val="auto"/>
          <w:sz w:val="30"/>
          <w:szCs w:val="30"/>
          <w:highlight w:val="none"/>
        </w:rPr>
        <w:t>号）等文件要求，长沙市望城区总工会(以下简称“本单位”)根据长沙市</w:t>
      </w:r>
      <w:r>
        <w:rPr>
          <w:rFonts w:hint="eastAsia" w:ascii="仿宋" w:hAnsi="仿宋" w:eastAsia="仿宋" w:cs="仿宋"/>
          <w:color w:val="auto"/>
          <w:sz w:val="30"/>
          <w:szCs w:val="30"/>
          <w:highlight w:val="none"/>
          <w:lang w:val="en-US" w:eastAsia="zh-CN"/>
        </w:rPr>
        <w:t>望城区</w:t>
      </w:r>
      <w:r>
        <w:rPr>
          <w:rFonts w:hint="eastAsia" w:ascii="仿宋" w:hAnsi="仿宋" w:eastAsia="仿宋" w:cs="仿宋"/>
          <w:color w:val="auto"/>
          <w:sz w:val="30"/>
          <w:szCs w:val="30"/>
          <w:highlight w:val="none"/>
        </w:rPr>
        <w:t>财政预算支出绩效评价的有关规定，对201</w:t>
      </w:r>
      <w:r>
        <w:rPr>
          <w:rFonts w:hint="eastAsia" w:ascii="仿宋" w:hAnsi="仿宋" w:eastAsia="仿宋" w:cs="仿宋"/>
          <w:color w:val="auto"/>
          <w:sz w:val="30"/>
          <w:szCs w:val="30"/>
          <w:highlight w:val="none"/>
          <w:lang w:val="en-US" w:eastAsia="zh-CN"/>
        </w:rPr>
        <w:t>9</w:t>
      </w:r>
      <w:r>
        <w:rPr>
          <w:rFonts w:hint="eastAsia" w:ascii="仿宋" w:hAnsi="仿宋" w:eastAsia="仿宋" w:cs="仿宋"/>
          <w:color w:val="auto"/>
          <w:sz w:val="30"/>
          <w:szCs w:val="30"/>
          <w:highlight w:val="none"/>
        </w:rPr>
        <w:t>年整体支出进行了绩效评价，形成本评价报告。</w:t>
      </w:r>
    </w:p>
    <w:p>
      <w:pPr>
        <w:pStyle w:val="2"/>
        <w:numPr>
          <w:ilvl w:val="0"/>
          <w:numId w:val="2"/>
        </w:numPr>
        <w:bidi w:val="0"/>
        <w:rPr>
          <w:rFonts w:hint="eastAsia"/>
        </w:rPr>
      </w:pPr>
      <w:bookmarkStart w:id="0" w:name="_Toc18955"/>
      <w:r>
        <w:rPr>
          <w:rFonts w:hint="eastAsia"/>
        </w:rPr>
        <w:t>部门（单位）基本情况</w:t>
      </w:r>
      <w:bookmarkEnd w:id="0"/>
    </w:p>
    <w:p>
      <w:pPr>
        <w:pStyle w:val="3"/>
        <w:bidi w:val="0"/>
        <w:rPr>
          <w:rFonts w:hint="eastAsia"/>
          <w:b/>
          <w:bCs/>
          <w:sz w:val="32"/>
          <w:szCs w:val="40"/>
        </w:rPr>
      </w:pPr>
      <w:bookmarkStart w:id="1" w:name="_Toc6040"/>
      <w:r>
        <w:rPr>
          <w:rFonts w:hint="eastAsia"/>
          <w:b/>
          <w:bCs/>
          <w:sz w:val="32"/>
          <w:szCs w:val="40"/>
        </w:rPr>
        <w:t>1、主要职责职能</w:t>
      </w:r>
      <w:bookmarkEnd w:id="1"/>
    </w:p>
    <w:p>
      <w:pPr>
        <w:pageBreakBefore w:val="0"/>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kinsoku/>
        <w:wordWrap/>
        <w:overflowPunct/>
        <w:topLinePunct w:val="0"/>
        <w:autoSpaceDE/>
        <w:bidi w:val="0"/>
        <w:adjustRightInd w:val="0"/>
        <w:snapToGrid w:val="0"/>
        <w:spacing w:line="360" w:lineRule="auto"/>
        <w:ind w:firstLine="600" w:firstLineChars="200"/>
        <w:rPr>
          <w:rFonts w:hint="eastAsia" w:ascii="仿宋" w:hAnsi="仿宋" w:eastAsia="仿宋" w:cs="仿宋"/>
          <w:sz w:val="30"/>
          <w:szCs w:val="30"/>
        </w:rPr>
      </w:pPr>
      <w:r>
        <w:rPr>
          <w:rFonts w:hint="eastAsia" w:ascii="仿宋" w:hAnsi="仿宋" w:eastAsia="仿宋" w:cs="仿宋"/>
          <w:sz w:val="30"/>
          <w:szCs w:val="30"/>
        </w:rPr>
        <w:t>1.根据党的路线、方针、政策，党在各个时期的中心任务和工运方针，按照中华全国总工会、省总工会和市总工会确定的工会工作的指导方针和任务，围绕区委工作大局，结合我区实际，指导全区工会工作。 </w:t>
      </w:r>
    </w:p>
    <w:p>
      <w:pPr>
        <w:pageBreakBefore w:val="0"/>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kinsoku/>
        <w:wordWrap/>
        <w:overflowPunct/>
        <w:topLinePunct w:val="0"/>
        <w:autoSpaceDE/>
        <w:bidi w:val="0"/>
        <w:adjustRightInd w:val="0"/>
        <w:snapToGrid w:val="0"/>
        <w:spacing w:line="360" w:lineRule="auto"/>
        <w:ind w:firstLine="600" w:firstLineChars="200"/>
        <w:rPr>
          <w:rFonts w:hint="eastAsia" w:ascii="仿宋" w:hAnsi="仿宋" w:eastAsia="仿宋" w:cs="仿宋"/>
          <w:sz w:val="30"/>
          <w:szCs w:val="30"/>
        </w:rPr>
      </w:pPr>
      <w:r>
        <w:rPr>
          <w:rFonts w:hint="eastAsia" w:ascii="仿宋" w:hAnsi="仿宋" w:eastAsia="仿宋" w:cs="仿宋"/>
          <w:sz w:val="30"/>
          <w:szCs w:val="30"/>
        </w:rPr>
        <w:t>2.依照法律和章程，组织和指导全区各级工会履行“维护、建设、参与、教育”等社会职能，贯彻执行长沙市望城区工会代表大会的决议，组织开展工会各项工作。　  </w:t>
      </w:r>
    </w:p>
    <w:p>
      <w:pPr>
        <w:pageBreakBefore w:val="0"/>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kinsoku/>
        <w:wordWrap/>
        <w:overflowPunct/>
        <w:topLinePunct w:val="0"/>
        <w:autoSpaceDE/>
        <w:bidi w:val="0"/>
        <w:adjustRightInd w:val="0"/>
        <w:snapToGrid w:val="0"/>
        <w:spacing w:line="360" w:lineRule="auto"/>
        <w:ind w:firstLine="600" w:firstLineChars="200"/>
        <w:rPr>
          <w:rFonts w:hint="eastAsia" w:ascii="仿宋" w:hAnsi="仿宋" w:eastAsia="仿宋" w:cs="仿宋"/>
          <w:sz w:val="30"/>
          <w:szCs w:val="30"/>
        </w:rPr>
      </w:pPr>
      <w:r>
        <w:rPr>
          <w:rFonts w:hint="eastAsia" w:ascii="仿宋" w:hAnsi="仿宋" w:eastAsia="仿宋" w:cs="仿宋"/>
          <w:sz w:val="30"/>
          <w:szCs w:val="30"/>
        </w:rPr>
        <w:t>3.对有关职工利益的重大问题进行调查研究，向区委、区政府及市总工会、省总工会和中华全国总工会反映职工群众的情绪、愿望和要求，并提出意见和建议，参与涉及职工切身利益的有关政策、措施和制度的制定，对侵犯职工权益的重大事件进行调查并提出处理意见，参与重大工伤事故的调查处理。 </w:t>
      </w:r>
    </w:p>
    <w:p>
      <w:pPr>
        <w:pageBreakBefore w:val="0"/>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kinsoku/>
        <w:wordWrap/>
        <w:overflowPunct/>
        <w:topLinePunct w:val="0"/>
        <w:autoSpaceDE/>
        <w:bidi w:val="0"/>
        <w:adjustRightInd w:val="0"/>
        <w:snapToGrid w:val="0"/>
        <w:spacing w:line="360" w:lineRule="auto"/>
        <w:ind w:firstLine="600" w:firstLineChars="200"/>
        <w:rPr>
          <w:rFonts w:hint="eastAsia" w:ascii="仿宋" w:hAnsi="仿宋" w:eastAsia="仿宋" w:cs="仿宋"/>
          <w:sz w:val="30"/>
          <w:szCs w:val="30"/>
        </w:rPr>
      </w:pPr>
      <w:r>
        <w:rPr>
          <w:rFonts w:hint="eastAsia" w:ascii="仿宋" w:hAnsi="仿宋" w:eastAsia="仿宋" w:cs="仿宋"/>
          <w:sz w:val="30"/>
          <w:szCs w:val="30"/>
        </w:rPr>
        <w:t>4.指导全区各级工会自身建设和改革，不断完善工会的各项组织制度和民主制度，监督检查《中国工会章程》的贯彻执行情况，指导基层工会组织职工开展以职工代表大会,为基本制度的民主选举、民主决策、民主管理和民主监督工作，建立健全调整劳动关系，维护职工劳动权益的平等协商、集体合同制度。 </w:t>
      </w:r>
    </w:p>
    <w:p>
      <w:pPr>
        <w:pageBreakBefore w:val="0"/>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kinsoku/>
        <w:wordWrap/>
        <w:overflowPunct/>
        <w:topLinePunct w:val="0"/>
        <w:autoSpaceDE/>
        <w:bidi w:val="0"/>
        <w:adjustRightInd w:val="0"/>
        <w:snapToGrid w:val="0"/>
        <w:spacing w:line="360" w:lineRule="auto"/>
        <w:ind w:firstLine="600" w:firstLineChars="200"/>
        <w:rPr>
          <w:rFonts w:hint="eastAsia" w:ascii="仿宋" w:hAnsi="仿宋" w:eastAsia="仿宋" w:cs="仿宋"/>
          <w:sz w:val="30"/>
          <w:szCs w:val="30"/>
        </w:rPr>
      </w:pPr>
      <w:r>
        <w:rPr>
          <w:rFonts w:hint="eastAsia" w:ascii="仿宋" w:hAnsi="仿宋" w:eastAsia="仿宋" w:cs="仿宋"/>
          <w:sz w:val="30"/>
          <w:szCs w:val="30"/>
        </w:rPr>
        <w:t>5.管理区总工会直属单位；做好工会干部的管理和培训等工作。 </w:t>
      </w:r>
    </w:p>
    <w:p>
      <w:pPr>
        <w:pageBreakBefore w:val="0"/>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kinsoku/>
        <w:wordWrap/>
        <w:overflowPunct/>
        <w:topLinePunct w:val="0"/>
        <w:autoSpaceDE/>
        <w:bidi w:val="0"/>
        <w:adjustRightInd w:val="0"/>
        <w:snapToGrid w:val="0"/>
        <w:spacing w:line="360" w:lineRule="auto"/>
        <w:ind w:firstLine="600" w:firstLineChars="200"/>
        <w:rPr>
          <w:rFonts w:hint="eastAsia" w:ascii="仿宋" w:hAnsi="仿宋" w:eastAsia="仿宋" w:cs="仿宋"/>
          <w:sz w:val="30"/>
          <w:szCs w:val="30"/>
        </w:rPr>
      </w:pPr>
      <w:r>
        <w:rPr>
          <w:rFonts w:hint="eastAsia" w:ascii="仿宋" w:hAnsi="仿宋" w:eastAsia="仿宋" w:cs="仿宋"/>
          <w:sz w:val="30"/>
          <w:szCs w:val="30"/>
        </w:rPr>
        <w:t>6.负责全区基层工会经费的管理、审查、审计工作，研究制定工会组织兴办职工劳动福利事业的有关制度、规定；负责工会劳动福利事业发展的指导、协调工作；管理所属事业单位。 </w:t>
      </w:r>
    </w:p>
    <w:p>
      <w:pPr>
        <w:pageBreakBefore w:val="0"/>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kinsoku/>
        <w:wordWrap/>
        <w:overflowPunct/>
        <w:topLinePunct w:val="0"/>
        <w:autoSpaceDE/>
        <w:bidi w:val="0"/>
        <w:adjustRightInd w:val="0"/>
        <w:snapToGrid w:val="0"/>
        <w:spacing w:line="360" w:lineRule="auto"/>
        <w:ind w:firstLine="600" w:firstLineChars="200"/>
        <w:rPr>
          <w:rFonts w:hint="eastAsia" w:ascii="仿宋" w:hAnsi="仿宋" w:eastAsia="仿宋" w:cs="仿宋"/>
          <w:sz w:val="30"/>
          <w:szCs w:val="30"/>
        </w:rPr>
      </w:pPr>
      <w:r>
        <w:rPr>
          <w:rFonts w:hint="eastAsia" w:ascii="仿宋" w:hAnsi="仿宋" w:eastAsia="仿宋" w:cs="仿宋"/>
          <w:sz w:val="30"/>
          <w:szCs w:val="30"/>
        </w:rPr>
        <w:t>7.承担区委、区人民政府和上级工会交办的其他事项</w:t>
      </w:r>
    </w:p>
    <w:p>
      <w:pPr>
        <w:pStyle w:val="3"/>
        <w:bidi w:val="0"/>
        <w:rPr>
          <w:rFonts w:hint="eastAsia"/>
          <w:b/>
          <w:bCs/>
          <w:sz w:val="32"/>
          <w:szCs w:val="32"/>
        </w:rPr>
      </w:pPr>
      <w:bookmarkStart w:id="2" w:name="_Toc8850"/>
      <w:r>
        <w:rPr>
          <w:rFonts w:hint="eastAsia"/>
          <w:b/>
          <w:bCs/>
          <w:sz w:val="32"/>
          <w:szCs w:val="32"/>
        </w:rPr>
        <w:t>2、机构设置情况</w:t>
      </w:r>
      <w:bookmarkEnd w:id="2"/>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sz w:val="30"/>
          <w:szCs w:val="30"/>
        </w:rPr>
      </w:pPr>
      <w:r>
        <w:rPr>
          <w:rFonts w:hint="eastAsia" w:ascii="仿宋" w:hAnsi="仿宋" w:eastAsia="仿宋" w:cs="仿宋"/>
          <w:sz w:val="30"/>
          <w:szCs w:val="30"/>
        </w:rPr>
        <w:t>纳入201</w:t>
      </w:r>
      <w:r>
        <w:rPr>
          <w:rFonts w:hint="eastAsia" w:ascii="仿宋" w:hAnsi="仿宋" w:eastAsia="仿宋" w:cs="仿宋"/>
          <w:sz w:val="30"/>
          <w:szCs w:val="30"/>
          <w:lang w:val="en-US" w:eastAsia="zh-CN"/>
        </w:rPr>
        <w:t>9</w:t>
      </w:r>
      <w:r>
        <w:rPr>
          <w:rFonts w:hint="eastAsia" w:ascii="仿宋" w:hAnsi="仿宋" w:eastAsia="仿宋" w:cs="仿宋"/>
          <w:sz w:val="30"/>
          <w:szCs w:val="30"/>
        </w:rPr>
        <w:t>年度部门决算汇编范围的独立核算单位共1个，即长沙市望城区总工会本级，全额财政拨款，执行政府会计制度。下设</w:t>
      </w:r>
      <w:r>
        <w:rPr>
          <w:rFonts w:hint="eastAsia" w:ascii="仿宋" w:hAnsi="仿宋" w:eastAsia="仿宋" w:cs="仿宋"/>
          <w:sz w:val="30"/>
          <w:szCs w:val="30"/>
          <w:lang w:val="en-US" w:eastAsia="zh-CN"/>
        </w:rPr>
        <w:t>1</w:t>
      </w:r>
      <w:r>
        <w:rPr>
          <w:rFonts w:hint="eastAsia" w:ascii="仿宋" w:hAnsi="仿宋" w:eastAsia="仿宋" w:cs="仿宋"/>
          <w:sz w:val="30"/>
          <w:szCs w:val="30"/>
        </w:rPr>
        <w:t>个职能处室即：办公室职能处室。</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sz w:val="30"/>
          <w:szCs w:val="30"/>
        </w:rPr>
      </w:pPr>
      <w:r>
        <w:rPr>
          <w:rFonts w:hint="eastAsia" w:ascii="仿宋" w:hAnsi="仿宋" w:eastAsia="仿宋" w:cs="仿宋"/>
          <w:sz w:val="30"/>
          <w:szCs w:val="30"/>
        </w:rPr>
        <w:t>办公室：负责区总工会常委会部署工作的协调、督查和综合服务工作。负责纪检监察、组织、党建、机构编制、宣传、统战、精神文明建设工作；负责干部、人才人事、工资福利、社会保障、教育培训、出国(境)和退休人员管理等工作；负责会务、文书、机要、保密、信息、档案、信访、综合调研、财务管理、总务后勤、安全保卫等工作；负责协调安排各项工会业务工作，对重大工作进行督办。</w:t>
      </w:r>
    </w:p>
    <w:p>
      <w:pPr>
        <w:pStyle w:val="3"/>
        <w:bidi w:val="0"/>
        <w:rPr>
          <w:rFonts w:hint="eastAsia"/>
          <w:b/>
          <w:bCs/>
          <w:sz w:val="32"/>
          <w:szCs w:val="40"/>
        </w:rPr>
      </w:pPr>
      <w:bookmarkStart w:id="3" w:name="_Toc25328"/>
      <w:r>
        <w:rPr>
          <w:rFonts w:hint="eastAsia"/>
          <w:b/>
          <w:bCs/>
          <w:sz w:val="32"/>
          <w:szCs w:val="40"/>
        </w:rPr>
        <w:t>3、人员概况</w:t>
      </w:r>
      <w:bookmarkEnd w:id="3"/>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00" w:firstLineChars="200"/>
        <w:jc w:val="both"/>
        <w:textAlignment w:val="auto"/>
        <w:rPr>
          <w:rFonts w:hint="eastAsia" w:ascii="仿宋" w:hAnsi="仿宋" w:eastAsia="仿宋" w:cs="仿宋"/>
          <w:sz w:val="30"/>
          <w:szCs w:val="30"/>
        </w:rPr>
      </w:pPr>
      <w:r>
        <w:rPr>
          <w:rFonts w:hint="eastAsia" w:ascii="仿宋" w:hAnsi="仿宋" w:eastAsia="仿宋" w:cs="仿宋"/>
          <w:sz w:val="30"/>
          <w:szCs w:val="30"/>
        </w:rPr>
        <w:t>2019年末有编制</w:t>
      </w:r>
      <w:r>
        <w:rPr>
          <w:rFonts w:hint="eastAsia" w:ascii="仿宋" w:hAnsi="仿宋" w:eastAsia="仿宋" w:cs="仿宋"/>
          <w:sz w:val="30"/>
          <w:szCs w:val="30"/>
          <w:lang w:val="en-US" w:eastAsia="zh-CN"/>
        </w:rPr>
        <w:t>12</w:t>
      </w:r>
      <w:r>
        <w:rPr>
          <w:rFonts w:hint="eastAsia" w:ascii="仿宋" w:hAnsi="仿宋" w:eastAsia="仿宋" w:cs="仿宋"/>
          <w:sz w:val="30"/>
          <w:szCs w:val="30"/>
        </w:rPr>
        <w:t>人，现有在职人员</w:t>
      </w:r>
      <w:r>
        <w:rPr>
          <w:rFonts w:hint="eastAsia" w:ascii="仿宋" w:hAnsi="仿宋" w:eastAsia="仿宋" w:cs="仿宋"/>
          <w:sz w:val="30"/>
          <w:szCs w:val="30"/>
          <w:lang w:val="en-US" w:eastAsia="zh-CN"/>
        </w:rPr>
        <w:t>12</w:t>
      </w:r>
      <w:r>
        <w:rPr>
          <w:rFonts w:hint="eastAsia" w:ascii="仿宋" w:hAnsi="仿宋" w:eastAsia="仿宋" w:cs="仿宋"/>
          <w:sz w:val="30"/>
          <w:szCs w:val="30"/>
        </w:rPr>
        <w:t>人，在职人员控制率为：</w:t>
      </w:r>
      <w:r>
        <w:rPr>
          <w:rFonts w:hint="eastAsia" w:ascii="仿宋" w:hAnsi="仿宋" w:eastAsia="仿宋" w:cs="仿宋"/>
          <w:sz w:val="30"/>
          <w:szCs w:val="30"/>
          <w:lang w:val="en-US" w:eastAsia="zh-CN"/>
        </w:rPr>
        <w:t>100.00</w:t>
      </w:r>
      <w:r>
        <w:rPr>
          <w:rFonts w:hint="eastAsia" w:ascii="仿宋" w:hAnsi="仿宋" w:eastAsia="仿宋" w:cs="仿宋"/>
          <w:sz w:val="30"/>
          <w:szCs w:val="30"/>
        </w:rPr>
        <w:t>%。</w:t>
      </w:r>
    </w:p>
    <w:p>
      <w:pPr>
        <w:pStyle w:val="2"/>
        <w:numPr>
          <w:ilvl w:val="0"/>
          <w:numId w:val="2"/>
        </w:numPr>
        <w:bidi w:val="0"/>
        <w:rPr>
          <w:rFonts w:hint="eastAsia"/>
        </w:rPr>
      </w:pPr>
      <w:bookmarkStart w:id="4" w:name="_Toc2404"/>
      <w:r>
        <w:rPr>
          <w:rFonts w:hint="eastAsia"/>
        </w:rPr>
        <w:t>部门（单位）预算管理及执行情况</w:t>
      </w:r>
      <w:bookmarkEnd w:id="4"/>
    </w:p>
    <w:p>
      <w:pPr>
        <w:pageBreakBefore w:val="0"/>
        <w:widowControl w:val="0"/>
        <w:kinsoku/>
        <w:wordWrap/>
        <w:overflowPunct/>
        <w:topLinePunct w:val="0"/>
        <w:autoSpaceDE/>
        <w:bidi w:val="0"/>
        <w:spacing w:line="360" w:lineRule="auto"/>
        <w:ind w:firstLine="600" w:firstLineChars="200"/>
        <w:outlineLvl w:val="1"/>
        <w:rPr>
          <w:rFonts w:hint="eastAsia" w:ascii="仿宋" w:hAnsi="仿宋" w:eastAsia="仿宋" w:cs="仿宋"/>
          <w:b/>
          <w:bCs/>
          <w:sz w:val="30"/>
          <w:szCs w:val="30"/>
        </w:rPr>
      </w:pPr>
      <w:bookmarkStart w:id="5" w:name="_Toc24819"/>
      <w:bookmarkStart w:id="6" w:name="_Toc32021"/>
      <w:r>
        <w:rPr>
          <w:rFonts w:hint="eastAsia" w:ascii="仿宋" w:hAnsi="仿宋" w:eastAsia="仿宋" w:cs="仿宋"/>
          <w:b/>
          <w:bCs/>
          <w:sz w:val="30"/>
          <w:szCs w:val="30"/>
        </w:rPr>
        <w:t>（一）基本支出管理情况</w:t>
      </w:r>
      <w:bookmarkEnd w:id="5"/>
      <w:bookmarkEnd w:id="6"/>
    </w:p>
    <w:p>
      <w:pPr>
        <w:pageBreakBefore w:val="0"/>
        <w:widowControl w:val="0"/>
        <w:kinsoku/>
        <w:wordWrap/>
        <w:overflowPunct/>
        <w:topLinePunct w:val="0"/>
        <w:autoSpaceDE/>
        <w:bidi w:val="0"/>
        <w:spacing w:line="360" w:lineRule="auto"/>
        <w:ind w:firstLine="600" w:firstLineChars="200"/>
        <w:outlineLvl w:val="2"/>
        <w:rPr>
          <w:rFonts w:hint="eastAsia" w:ascii="仿宋" w:hAnsi="仿宋" w:eastAsia="仿宋" w:cs="仿宋"/>
          <w:sz w:val="30"/>
          <w:szCs w:val="30"/>
        </w:rPr>
      </w:pPr>
      <w:bookmarkStart w:id="7" w:name="_Toc21451"/>
      <w:bookmarkStart w:id="8" w:name="_Toc1338"/>
      <w:r>
        <w:rPr>
          <w:rFonts w:hint="eastAsia" w:ascii="仿宋" w:hAnsi="仿宋" w:eastAsia="仿宋" w:cs="仿宋"/>
          <w:sz w:val="30"/>
          <w:szCs w:val="30"/>
        </w:rPr>
        <w:t>1、基本支出本年使用情况</w:t>
      </w:r>
      <w:bookmarkEnd w:id="7"/>
      <w:bookmarkEnd w:id="8"/>
    </w:p>
    <w:p>
      <w:pPr>
        <w:pageBreakBefore w:val="0"/>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kinsoku/>
        <w:wordWrap/>
        <w:overflowPunct/>
        <w:topLinePunct w:val="0"/>
        <w:autoSpaceDE/>
        <w:bidi w:val="0"/>
        <w:adjustRightInd w:val="0"/>
        <w:snapToGrid w:val="0"/>
        <w:spacing w:line="360" w:lineRule="auto"/>
        <w:ind w:firstLine="600" w:firstLineChars="200"/>
        <w:rPr>
          <w:rFonts w:hint="eastAsia" w:ascii="仿宋" w:hAnsi="仿宋" w:eastAsia="仿宋" w:cs="仿宋"/>
          <w:color w:val="000000"/>
          <w:sz w:val="30"/>
          <w:szCs w:val="30"/>
          <w:lang w:val="en-US" w:eastAsia="zh-CN"/>
        </w:rPr>
      </w:pPr>
      <w:r>
        <w:rPr>
          <w:rFonts w:hint="eastAsia" w:ascii="仿宋" w:hAnsi="仿宋" w:eastAsia="仿宋" w:cs="仿宋"/>
          <w:color w:val="000000"/>
          <w:sz w:val="30"/>
          <w:szCs w:val="30"/>
        </w:rPr>
        <w:t>本单位基本支出的范围和主要用途是指为保障我单位机构运转、完成日常工作任务而发生的各项支出，包括用于在职和离退休人员基本工资、津贴补贴等人员经费以及办公费、印刷费、办公设备购置费等日常公用经费。基本支出实际支出3,119,593.20元，其中：工资福利支出2,485,456.49元，对个人和家庭的补助604,557.72元，商品和服务支出29,578.99元。</w:t>
      </w:r>
    </w:p>
    <w:p>
      <w:pPr>
        <w:pStyle w:val="4"/>
        <w:pageBreakBefore w:val="0"/>
        <w:widowControl w:val="0"/>
        <w:kinsoku/>
        <w:wordWrap/>
        <w:overflowPunct/>
        <w:topLinePunct w:val="0"/>
        <w:autoSpaceDE/>
        <w:bidi w:val="0"/>
        <w:spacing w:line="360" w:lineRule="auto"/>
        <w:rPr>
          <w:rFonts w:hint="eastAsia" w:ascii="仿宋" w:hAnsi="仿宋" w:eastAsia="仿宋" w:cs="仿宋"/>
          <w:kern w:val="2"/>
          <w:sz w:val="30"/>
          <w:szCs w:val="30"/>
          <w:lang w:val="en-US" w:eastAsia="zh-CN" w:bidi="ar-SA"/>
        </w:rPr>
      </w:pPr>
      <w:bookmarkStart w:id="9" w:name="_Toc17789"/>
      <w:bookmarkStart w:id="10" w:name="_Toc14911"/>
      <w:r>
        <w:rPr>
          <w:rFonts w:hint="eastAsia" w:ascii="仿宋" w:hAnsi="仿宋" w:eastAsia="仿宋" w:cs="仿宋"/>
          <w:kern w:val="2"/>
          <w:sz w:val="30"/>
          <w:szCs w:val="30"/>
          <w:lang w:val="en-US" w:eastAsia="zh-CN" w:bidi="ar-SA"/>
        </w:rPr>
        <w:t>2、本年基本支出预算执行情况</w:t>
      </w:r>
      <w:bookmarkEnd w:id="9"/>
      <w:bookmarkEnd w:id="10"/>
    </w:p>
    <w:tbl>
      <w:tblPr>
        <w:tblStyle w:val="9"/>
        <w:tblW w:w="8388" w:type="dxa"/>
        <w:jc w:val="right"/>
        <w:tblLayout w:type="fixed"/>
        <w:tblCellMar>
          <w:top w:w="0" w:type="dxa"/>
          <w:left w:w="15" w:type="dxa"/>
          <w:bottom w:w="0" w:type="dxa"/>
          <w:right w:w="15" w:type="dxa"/>
        </w:tblCellMar>
      </w:tblPr>
      <w:tblGrid>
        <w:gridCol w:w="2973"/>
        <w:gridCol w:w="1724"/>
        <w:gridCol w:w="1748"/>
        <w:gridCol w:w="1943"/>
      </w:tblGrid>
      <w:tr>
        <w:tblPrEx>
          <w:tblCellMar>
            <w:top w:w="0" w:type="dxa"/>
            <w:left w:w="15" w:type="dxa"/>
            <w:bottom w:w="0" w:type="dxa"/>
            <w:right w:w="15" w:type="dxa"/>
          </w:tblCellMar>
        </w:tblPrEx>
        <w:trPr>
          <w:trHeight w:val="528" w:hRule="atLeast"/>
          <w:jc w:val="right"/>
        </w:trPr>
        <w:tc>
          <w:tcPr>
            <w:tcW w:w="2973" w:type="dxa"/>
            <w:tcBorders>
              <w:top w:val="single" w:color="000000" w:sz="4" w:space="0"/>
              <w:left w:val="single" w:color="000000" w:sz="4" w:space="0"/>
              <w:bottom w:val="single" w:color="000000" w:sz="4" w:space="0"/>
            </w:tcBorders>
            <w:vAlign w:val="center"/>
          </w:tcPr>
          <w:p>
            <w:pPr>
              <w:pageBreakBefore w:val="0"/>
              <w:widowControl w:val="0"/>
              <w:kinsoku/>
              <w:wordWrap/>
              <w:overflowPunct/>
              <w:topLinePunct w:val="0"/>
              <w:autoSpaceDE/>
              <w:bidi w:val="0"/>
              <w:spacing w:line="360" w:lineRule="auto"/>
              <w:jc w:val="center"/>
              <w:rPr>
                <w:rFonts w:hint="eastAsia" w:ascii="仿宋" w:hAnsi="仿宋" w:eastAsia="仿宋" w:cs="仿宋"/>
                <w:color w:val="000000"/>
                <w:sz w:val="28"/>
                <w:szCs w:val="28"/>
              </w:rPr>
            </w:pPr>
            <w:r>
              <w:rPr>
                <w:rFonts w:hint="eastAsia" w:ascii="仿宋" w:hAnsi="仿宋" w:eastAsia="仿宋" w:cs="仿宋"/>
                <w:color w:val="000000"/>
                <w:sz w:val="28"/>
                <w:szCs w:val="28"/>
              </w:rPr>
              <w:t>预算项目</w:t>
            </w:r>
          </w:p>
        </w:tc>
        <w:tc>
          <w:tcPr>
            <w:tcW w:w="1724" w:type="dxa"/>
            <w:tcBorders>
              <w:top w:val="single" w:color="000000" w:sz="4" w:space="0"/>
              <w:left w:val="single" w:color="000000" w:sz="4" w:space="0"/>
              <w:bottom w:val="single" w:color="000000" w:sz="4" w:space="0"/>
              <w:right w:val="single" w:color="000000" w:sz="4" w:space="0"/>
            </w:tcBorders>
            <w:vAlign w:val="center"/>
          </w:tcPr>
          <w:p>
            <w:pPr>
              <w:pageBreakBefore w:val="0"/>
              <w:widowControl w:val="0"/>
              <w:kinsoku/>
              <w:wordWrap/>
              <w:overflowPunct/>
              <w:topLinePunct w:val="0"/>
              <w:autoSpaceDE/>
              <w:autoSpaceDN w:val="0"/>
              <w:bidi w:val="0"/>
              <w:spacing w:line="360" w:lineRule="auto"/>
              <w:jc w:val="center"/>
              <w:textAlignment w:val="center"/>
              <w:rPr>
                <w:rFonts w:hint="eastAsia" w:ascii="仿宋" w:hAnsi="仿宋" w:eastAsia="仿宋" w:cs="仿宋"/>
                <w:color w:val="000000"/>
                <w:sz w:val="28"/>
                <w:szCs w:val="28"/>
                <w:lang w:eastAsia="zh-CN"/>
              </w:rPr>
            </w:pPr>
            <w:r>
              <w:rPr>
                <w:rFonts w:hint="eastAsia" w:ascii="仿宋" w:hAnsi="仿宋" w:eastAsia="仿宋" w:cs="仿宋"/>
                <w:color w:val="000000"/>
                <w:sz w:val="28"/>
                <w:szCs w:val="28"/>
              </w:rPr>
              <w:t>预算可用</w:t>
            </w:r>
          </w:p>
        </w:tc>
        <w:tc>
          <w:tcPr>
            <w:tcW w:w="1748" w:type="dxa"/>
            <w:tcBorders>
              <w:top w:val="single" w:color="000000" w:sz="4" w:space="0"/>
              <w:left w:val="single" w:color="000000" w:sz="4" w:space="0"/>
              <w:bottom w:val="single" w:color="000000" w:sz="4" w:space="0"/>
              <w:right w:val="single" w:color="000000" w:sz="4" w:space="0"/>
            </w:tcBorders>
            <w:vAlign w:val="center"/>
          </w:tcPr>
          <w:p>
            <w:pPr>
              <w:pageBreakBefore w:val="0"/>
              <w:widowControl w:val="0"/>
              <w:kinsoku/>
              <w:wordWrap/>
              <w:overflowPunct/>
              <w:topLinePunct w:val="0"/>
              <w:autoSpaceDE/>
              <w:autoSpaceDN w:val="0"/>
              <w:bidi w:val="0"/>
              <w:spacing w:line="360" w:lineRule="auto"/>
              <w:jc w:val="center"/>
              <w:textAlignment w:val="center"/>
              <w:rPr>
                <w:rFonts w:hint="eastAsia" w:ascii="仿宋" w:hAnsi="仿宋" w:eastAsia="仿宋" w:cs="仿宋"/>
                <w:color w:val="000000"/>
                <w:sz w:val="28"/>
                <w:szCs w:val="28"/>
              </w:rPr>
            </w:pPr>
            <w:r>
              <w:rPr>
                <w:rFonts w:hint="eastAsia" w:ascii="仿宋" w:hAnsi="仿宋" w:eastAsia="仿宋" w:cs="仿宋"/>
                <w:color w:val="000000"/>
                <w:sz w:val="28"/>
                <w:szCs w:val="28"/>
              </w:rPr>
              <w:t>本年决算金额</w:t>
            </w:r>
          </w:p>
        </w:tc>
        <w:tc>
          <w:tcPr>
            <w:tcW w:w="1943" w:type="dxa"/>
            <w:tcBorders>
              <w:top w:val="single" w:color="000000" w:sz="4" w:space="0"/>
              <w:left w:val="single" w:color="000000" w:sz="4" w:space="0"/>
              <w:bottom w:val="single" w:color="000000" w:sz="4" w:space="0"/>
              <w:right w:val="single" w:color="000000" w:sz="4" w:space="0"/>
            </w:tcBorders>
            <w:vAlign w:val="center"/>
          </w:tcPr>
          <w:p>
            <w:pPr>
              <w:pageBreakBefore w:val="0"/>
              <w:widowControl w:val="0"/>
              <w:kinsoku/>
              <w:wordWrap/>
              <w:overflowPunct/>
              <w:topLinePunct w:val="0"/>
              <w:autoSpaceDE/>
              <w:autoSpaceDN w:val="0"/>
              <w:bidi w:val="0"/>
              <w:spacing w:line="360" w:lineRule="auto"/>
              <w:jc w:val="center"/>
              <w:textAlignment w:val="center"/>
              <w:rPr>
                <w:rFonts w:hint="eastAsia" w:ascii="仿宋" w:hAnsi="仿宋" w:eastAsia="仿宋" w:cs="仿宋"/>
                <w:color w:val="000000"/>
                <w:sz w:val="28"/>
                <w:szCs w:val="28"/>
              </w:rPr>
            </w:pPr>
            <w:r>
              <w:rPr>
                <w:rFonts w:hint="eastAsia" w:ascii="仿宋" w:hAnsi="仿宋" w:eastAsia="仿宋" w:cs="仿宋"/>
                <w:color w:val="000000"/>
                <w:sz w:val="28"/>
                <w:szCs w:val="28"/>
              </w:rPr>
              <w:t>差额</w:t>
            </w:r>
          </w:p>
        </w:tc>
      </w:tr>
      <w:tr>
        <w:tblPrEx>
          <w:tblCellMar>
            <w:top w:w="0" w:type="dxa"/>
            <w:left w:w="15" w:type="dxa"/>
            <w:bottom w:w="0" w:type="dxa"/>
            <w:right w:w="15" w:type="dxa"/>
          </w:tblCellMar>
        </w:tblPrEx>
        <w:trPr>
          <w:trHeight w:val="390" w:hRule="atLeast"/>
          <w:jc w:val="right"/>
        </w:trPr>
        <w:tc>
          <w:tcPr>
            <w:tcW w:w="2973" w:type="dxa"/>
            <w:tcBorders>
              <w:top w:val="single" w:color="000000" w:sz="4" w:space="0"/>
              <w:left w:val="single" w:color="000000" w:sz="4" w:space="0"/>
              <w:bottom w:val="single" w:color="000000" w:sz="4" w:space="0"/>
            </w:tcBorders>
            <w:vAlign w:val="center"/>
          </w:tcPr>
          <w:p>
            <w:pPr>
              <w:pageBreakBefore w:val="0"/>
              <w:widowControl w:val="0"/>
              <w:kinsoku/>
              <w:wordWrap/>
              <w:overflowPunct/>
              <w:topLinePunct w:val="0"/>
              <w:autoSpaceDE/>
              <w:autoSpaceDN w:val="0"/>
              <w:bidi w:val="0"/>
              <w:spacing w:line="360" w:lineRule="auto"/>
              <w:jc w:val="left"/>
              <w:textAlignment w:val="center"/>
              <w:rPr>
                <w:rFonts w:hint="eastAsia" w:ascii="仿宋" w:hAnsi="仿宋" w:eastAsia="仿宋" w:cs="仿宋"/>
                <w:color w:val="000000"/>
                <w:sz w:val="28"/>
                <w:szCs w:val="28"/>
              </w:rPr>
            </w:pPr>
            <w:r>
              <w:rPr>
                <w:rFonts w:hint="eastAsia" w:ascii="仿宋" w:hAnsi="仿宋" w:eastAsia="仿宋" w:cs="仿宋"/>
                <w:color w:val="000000"/>
                <w:sz w:val="28"/>
                <w:szCs w:val="28"/>
              </w:rPr>
              <w:t>工资福利支出</w:t>
            </w:r>
          </w:p>
        </w:tc>
        <w:tc>
          <w:tcPr>
            <w:tcW w:w="1724" w:type="dxa"/>
            <w:tcBorders>
              <w:top w:val="single" w:color="000000" w:sz="4" w:space="0"/>
              <w:left w:val="single" w:color="000000" w:sz="4" w:space="0"/>
              <w:bottom w:val="single" w:color="000000" w:sz="4" w:space="0"/>
              <w:right w:val="single" w:color="000000" w:sz="4" w:space="0"/>
            </w:tcBorders>
            <w:vAlign w:val="center"/>
          </w:tcPr>
          <w:p>
            <w:pPr>
              <w:pageBreakBefore w:val="0"/>
              <w:widowControl w:val="0"/>
              <w:kinsoku/>
              <w:wordWrap/>
              <w:overflowPunct/>
              <w:topLinePunct w:val="0"/>
              <w:autoSpaceDE/>
              <w:autoSpaceDN w:val="0"/>
              <w:bidi w:val="0"/>
              <w:spacing w:line="360" w:lineRule="auto"/>
              <w:jc w:val="right"/>
              <w:textAlignment w:val="center"/>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 xml:space="preserve">2,493,636.00 </w:t>
            </w:r>
          </w:p>
        </w:tc>
        <w:tc>
          <w:tcPr>
            <w:tcW w:w="1748" w:type="dxa"/>
            <w:tcBorders>
              <w:top w:val="single" w:color="000000" w:sz="4" w:space="0"/>
              <w:left w:val="single" w:color="000000" w:sz="4" w:space="0"/>
              <w:bottom w:val="single" w:color="000000" w:sz="4" w:space="0"/>
              <w:right w:val="single" w:color="000000" w:sz="4" w:space="0"/>
            </w:tcBorders>
            <w:vAlign w:val="center"/>
          </w:tcPr>
          <w:p>
            <w:pPr>
              <w:pageBreakBefore w:val="0"/>
              <w:widowControl w:val="0"/>
              <w:kinsoku/>
              <w:wordWrap/>
              <w:overflowPunct/>
              <w:topLinePunct w:val="0"/>
              <w:autoSpaceDE/>
              <w:autoSpaceDN w:val="0"/>
              <w:bidi w:val="0"/>
              <w:spacing w:line="360" w:lineRule="auto"/>
              <w:jc w:val="right"/>
              <w:textAlignment w:val="center"/>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2,485,456.49</w:t>
            </w:r>
          </w:p>
        </w:tc>
        <w:tc>
          <w:tcPr>
            <w:tcW w:w="1943" w:type="dxa"/>
            <w:tcBorders>
              <w:top w:val="single" w:color="000000" w:sz="4" w:space="0"/>
              <w:left w:val="single" w:color="000000" w:sz="4" w:space="0"/>
              <w:bottom w:val="single" w:color="000000" w:sz="4" w:space="0"/>
              <w:right w:val="single" w:color="000000" w:sz="4" w:space="0"/>
            </w:tcBorders>
            <w:vAlign w:val="bottom"/>
          </w:tcPr>
          <w:p>
            <w:pPr>
              <w:keepNext w:val="0"/>
              <w:keepLines w:val="0"/>
              <w:widowControl/>
              <w:suppressLineNumbers w:val="0"/>
              <w:jc w:val="right"/>
              <w:textAlignment w:val="bottom"/>
              <w:rPr>
                <w:rFonts w:hint="eastAsia" w:ascii="仿宋" w:hAnsi="仿宋" w:eastAsia="仿宋" w:cs="仿宋"/>
                <w:color w:val="000000"/>
                <w:sz w:val="28"/>
                <w:szCs w:val="28"/>
                <w:lang w:val="en-US" w:eastAsia="zh-CN"/>
              </w:rPr>
            </w:pPr>
            <w:r>
              <w:rPr>
                <w:rFonts w:hint="eastAsia" w:ascii="仿宋" w:hAnsi="仿宋" w:eastAsia="仿宋" w:cs="仿宋"/>
                <w:i w:val="0"/>
                <w:color w:val="000000"/>
                <w:kern w:val="0"/>
                <w:sz w:val="28"/>
                <w:szCs w:val="28"/>
                <w:u w:val="none"/>
                <w:lang w:val="en-US" w:eastAsia="zh-CN" w:bidi="ar"/>
              </w:rPr>
              <w:t xml:space="preserve">8,179.51 </w:t>
            </w:r>
          </w:p>
        </w:tc>
      </w:tr>
      <w:tr>
        <w:tblPrEx>
          <w:tblCellMar>
            <w:top w:w="0" w:type="dxa"/>
            <w:left w:w="15" w:type="dxa"/>
            <w:bottom w:w="0" w:type="dxa"/>
            <w:right w:w="15" w:type="dxa"/>
          </w:tblCellMar>
        </w:tblPrEx>
        <w:trPr>
          <w:trHeight w:val="390" w:hRule="atLeast"/>
          <w:jc w:val="right"/>
        </w:trPr>
        <w:tc>
          <w:tcPr>
            <w:tcW w:w="2973" w:type="dxa"/>
            <w:tcBorders>
              <w:top w:val="single" w:color="000000" w:sz="4" w:space="0"/>
              <w:left w:val="single" w:color="000000" w:sz="4" w:space="0"/>
              <w:bottom w:val="single" w:color="000000" w:sz="4" w:space="0"/>
            </w:tcBorders>
            <w:vAlign w:val="center"/>
          </w:tcPr>
          <w:p>
            <w:pPr>
              <w:pageBreakBefore w:val="0"/>
              <w:widowControl w:val="0"/>
              <w:kinsoku/>
              <w:wordWrap/>
              <w:overflowPunct/>
              <w:topLinePunct w:val="0"/>
              <w:autoSpaceDE/>
              <w:autoSpaceDN w:val="0"/>
              <w:bidi w:val="0"/>
              <w:spacing w:line="360" w:lineRule="auto"/>
              <w:jc w:val="left"/>
              <w:textAlignment w:val="center"/>
              <w:rPr>
                <w:rFonts w:hint="eastAsia" w:ascii="仿宋" w:hAnsi="仿宋" w:eastAsia="仿宋" w:cs="仿宋"/>
                <w:color w:val="000000"/>
                <w:sz w:val="28"/>
                <w:szCs w:val="28"/>
              </w:rPr>
            </w:pPr>
            <w:r>
              <w:rPr>
                <w:rFonts w:hint="eastAsia" w:ascii="仿宋" w:hAnsi="仿宋" w:eastAsia="仿宋" w:cs="仿宋"/>
                <w:color w:val="000000"/>
                <w:sz w:val="28"/>
                <w:szCs w:val="28"/>
              </w:rPr>
              <w:t>对个人和家庭的补助</w:t>
            </w:r>
          </w:p>
        </w:tc>
        <w:tc>
          <w:tcPr>
            <w:tcW w:w="1724" w:type="dxa"/>
            <w:tcBorders>
              <w:top w:val="single" w:color="000000" w:sz="4" w:space="0"/>
              <w:left w:val="single" w:color="000000" w:sz="4" w:space="0"/>
              <w:bottom w:val="single" w:color="000000" w:sz="4" w:space="0"/>
              <w:right w:val="single" w:color="000000" w:sz="4" w:space="0"/>
            </w:tcBorders>
            <w:vAlign w:val="center"/>
          </w:tcPr>
          <w:p>
            <w:pPr>
              <w:pageBreakBefore w:val="0"/>
              <w:widowControl w:val="0"/>
              <w:kinsoku/>
              <w:wordWrap/>
              <w:overflowPunct/>
              <w:topLinePunct w:val="0"/>
              <w:autoSpaceDE/>
              <w:autoSpaceDN w:val="0"/>
              <w:bidi w:val="0"/>
              <w:spacing w:line="360" w:lineRule="auto"/>
              <w:jc w:val="right"/>
              <w:textAlignment w:val="center"/>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 xml:space="preserve">408,078.00 </w:t>
            </w:r>
          </w:p>
        </w:tc>
        <w:tc>
          <w:tcPr>
            <w:tcW w:w="1748" w:type="dxa"/>
            <w:tcBorders>
              <w:top w:val="single" w:color="000000" w:sz="4" w:space="0"/>
              <w:left w:val="single" w:color="000000" w:sz="4" w:space="0"/>
              <w:bottom w:val="single" w:color="000000" w:sz="4" w:space="0"/>
              <w:right w:val="single" w:color="000000" w:sz="4" w:space="0"/>
            </w:tcBorders>
            <w:vAlign w:val="center"/>
          </w:tcPr>
          <w:p>
            <w:pPr>
              <w:pageBreakBefore w:val="0"/>
              <w:widowControl w:val="0"/>
              <w:kinsoku/>
              <w:wordWrap/>
              <w:overflowPunct/>
              <w:topLinePunct w:val="0"/>
              <w:autoSpaceDE/>
              <w:autoSpaceDN w:val="0"/>
              <w:bidi w:val="0"/>
              <w:spacing w:line="360" w:lineRule="auto"/>
              <w:jc w:val="right"/>
              <w:textAlignment w:val="center"/>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604,557.72</w:t>
            </w:r>
          </w:p>
        </w:tc>
        <w:tc>
          <w:tcPr>
            <w:tcW w:w="1943" w:type="dxa"/>
            <w:tcBorders>
              <w:top w:val="single" w:color="000000" w:sz="4" w:space="0"/>
              <w:left w:val="single" w:color="000000" w:sz="4" w:space="0"/>
              <w:bottom w:val="single" w:color="000000" w:sz="4" w:space="0"/>
              <w:right w:val="single" w:color="000000" w:sz="4" w:space="0"/>
            </w:tcBorders>
            <w:vAlign w:val="bottom"/>
          </w:tcPr>
          <w:p>
            <w:pPr>
              <w:keepNext w:val="0"/>
              <w:keepLines w:val="0"/>
              <w:widowControl/>
              <w:suppressLineNumbers w:val="0"/>
              <w:jc w:val="right"/>
              <w:textAlignment w:val="bottom"/>
              <w:rPr>
                <w:rFonts w:hint="eastAsia" w:ascii="仿宋" w:hAnsi="仿宋" w:eastAsia="仿宋" w:cs="仿宋"/>
                <w:color w:val="000000"/>
                <w:sz w:val="28"/>
                <w:szCs w:val="28"/>
                <w:lang w:val="en-US" w:eastAsia="zh-CN"/>
              </w:rPr>
            </w:pPr>
            <w:r>
              <w:rPr>
                <w:rFonts w:hint="eastAsia" w:ascii="仿宋" w:hAnsi="仿宋" w:eastAsia="仿宋" w:cs="仿宋"/>
                <w:i w:val="0"/>
                <w:color w:val="000000"/>
                <w:kern w:val="0"/>
                <w:sz w:val="28"/>
                <w:szCs w:val="28"/>
                <w:u w:val="none"/>
                <w:lang w:val="en-US" w:eastAsia="zh-CN" w:bidi="ar"/>
              </w:rPr>
              <w:t xml:space="preserve">-196,479.72 </w:t>
            </w:r>
          </w:p>
        </w:tc>
      </w:tr>
      <w:tr>
        <w:tblPrEx>
          <w:tblCellMar>
            <w:top w:w="0" w:type="dxa"/>
            <w:left w:w="15" w:type="dxa"/>
            <w:bottom w:w="0" w:type="dxa"/>
            <w:right w:w="15" w:type="dxa"/>
          </w:tblCellMar>
        </w:tblPrEx>
        <w:trPr>
          <w:trHeight w:val="390" w:hRule="atLeast"/>
          <w:jc w:val="right"/>
        </w:trPr>
        <w:tc>
          <w:tcPr>
            <w:tcW w:w="2973" w:type="dxa"/>
            <w:tcBorders>
              <w:top w:val="single" w:color="000000" w:sz="4" w:space="0"/>
              <w:left w:val="single" w:color="000000" w:sz="4" w:space="0"/>
              <w:bottom w:val="single" w:color="000000" w:sz="4" w:space="0"/>
            </w:tcBorders>
            <w:vAlign w:val="center"/>
          </w:tcPr>
          <w:p>
            <w:pPr>
              <w:pageBreakBefore w:val="0"/>
              <w:widowControl w:val="0"/>
              <w:kinsoku/>
              <w:wordWrap/>
              <w:overflowPunct/>
              <w:topLinePunct w:val="0"/>
              <w:autoSpaceDE/>
              <w:autoSpaceDN w:val="0"/>
              <w:bidi w:val="0"/>
              <w:spacing w:line="360" w:lineRule="auto"/>
              <w:jc w:val="left"/>
              <w:textAlignment w:val="center"/>
              <w:rPr>
                <w:rFonts w:hint="eastAsia" w:ascii="仿宋" w:hAnsi="仿宋" w:eastAsia="仿宋" w:cs="仿宋"/>
                <w:color w:val="000000"/>
                <w:sz w:val="28"/>
                <w:szCs w:val="28"/>
              </w:rPr>
            </w:pPr>
            <w:r>
              <w:rPr>
                <w:rFonts w:hint="eastAsia" w:ascii="仿宋" w:hAnsi="仿宋" w:eastAsia="仿宋" w:cs="仿宋"/>
                <w:color w:val="000000"/>
                <w:sz w:val="28"/>
                <w:szCs w:val="28"/>
              </w:rPr>
              <w:t>商品和服务支出</w:t>
            </w:r>
          </w:p>
        </w:tc>
        <w:tc>
          <w:tcPr>
            <w:tcW w:w="1724" w:type="dxa"/>
            <w:tcBorders>
              <w:top w:val="single" w:color="000000" w:sz="4" w:space="0"/>
              <w:left w:val="single" w:color="000000" w:sz="4" w:space="0"/>
              <w:bottom w:val="single" w:color="000000" w:sz="4" w:space="0"/>
              <w:right w:val="single" w:color="000000" w:sz="4" w:space="0"/>
            </w:tcBorders>
            <w:vAlign w:val="center"/>
          </w:tcPr>
          <w:p>
            <w:pPr>
              <w:pageBreakBefore w:val="0"/>
              <w:widowControl w:val="0"/>
              <w:kinsoku/>
              <w:wordWrap/>
              <w:overflowPunct/>
              <w:topLinePunct w:val="0"/>
              <w:autoSpaceDE/>
              <w:autoSpaceDN w:val="0"/>
              <w:bidi w:val="0"/>
              <w:spacing w:line="360" w:lineRule="auto"/>
              <w:jc w:val="right"/>
              <w:textAlignment w:val="center"/>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 xml:space="preserve">96,000.00 </w:t>
            </w:r>
          </w:p>
        </w:tc>
        <w:tc>
          <w:tcPr>
            <w:tcW w:w="1748" w:type="dxa"/>
            <w:tcBorders>
              <w:top w:val="single" w:color="000000" w:sz="4" w:space="0"/>
              <w:left w:val="single" w:color="000000" w:sz="4" w:space="0"/>
              <w:bottom w:val="single" w:color="000000" w:sz="4" w:space="0"/>
              <w:right w:val="single" w:color="000000" w:sz="4" w:space="0"/>
            </w:tcBorders>
            <w:vAlign w:val="center"/>
          </w:tcPr>
          <w:p>
            <w:pPr>
              <w:pageBreakBefore w:val="0"/>
              <w:widowControl w:val="0"/>
              <w:kinsoku/>
              <w:wordWrap/>
              <w:overflowPunct/>
              <w:topLinePunct w:val="0"/>
              <w:autoSpaceDE/>
              <w:autoSpaceDN w:val="0"/>
              <w:bidi w:val="0"/>
              <w:spacing w:line="360" w:lineRule="auto"/>
              <w:jc w:val="right"/>
              <w:textAlignment w:val="center"/>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29,578.99</w:t>
            </w:r>
          </w:p>
        </w:tc>
        <w:tc>
          <w:tcPr>
            <w:tcW w:w="1943" w:type="dxa"/>
            <w:tcBorders>
              <w:top w:val="single" w:color="000000" w:sz="4" w:space="0"/>
              <w:left w:val="single" w:color="000000" w:sz="4" w:space="0"/>
              <w:bottom w:val="single" w:color="000000" w:sz="4" w:space="0"/>
              <w:right w:val="single" w:color="000000" w:sz="4" w:space="0"/>
            </w:tcBorders>
            <w:vAlign w:val="bottom"/>
          </w:tcPr>
          <w:p>
            <w:pPr>
              <w:keepNext w:val="0"/>
              <w:keepLines w:val="0"/>
              <w:widowControl/>
              <w:suppressLineNumbers w:val="0"/>
              <w:jc w:val="right"/>
              <w:textAlignment w:val="bottom"/>
              <w:rPr>
                <w:rFonts w:hint="eastAsia" w:ascii="仿宋" w:hAnsi="仿宋" w:eastAsia="仿宋" w:cs="仿宋"/>
                <w:color w:val="000000"/>
                <w:sz w:val="28"/>
                <w:szCs w:val="28"/>
                <w:lang w:val="en-US" w:eastAsia="zh-CN"/>
              </w:rPr>
            </w:pPr>
            <w:r>
              <w:rPr>
                <w:rFonts w:hint="eastAsia" w:ascii="仿宋" w:hAnsi="仿宋" w:eastAsia="仿宋" w:cs="仿宋"/>
                <w:i w:val="0"/>
                <w:color w:val="000000"/>
                <w:kern w:val="0"/>
                <w:sz w:val="28"/>
                <w:szCs w:val="28"/>
                <w:u w:val="none"/>
                <w:lang w:val="en-US" w:eastAsia="zh-CN" w:bidi="ar"/>
              </w:rPr>
              <w:t xml:space="preserve">66,421.01 </w:t>
            </w:r>
          </w:p>
        </w:tc>
      </w:tr>
      <w:tr>
        <w:tblPrEx>
          <w:tblCellMar>
            <w:top w:w="0" w:type="dxa"/>
            <w:left w:w="15" w:type="dxa"/>
            <w:bottom w:w="0" w:type="dxa"/>
            <w:right w:w="15" w:type="dxa"/>
          </w:tblCellMar>
        </w:tblPrEx>
        <w:trPr>
          <w:trHeight w:val="540" w:hRule="atLeast"/>
          <w:jc w:val="right"/>
        </w:trPr>
        <w:tc>
          <w:tcPr>
            <w:tcW w:w="2973" w:type="dxa"/>
            <w:tcBorders>
              <w:top w:val="single" w:color="000000" w:sz="4" w:space="0"/>
              <w:left w:val="single" w:color="000000" w:sz="4" w:space="0"/>
              <w:bottom w:val="single" w:color="000000" w:sz="4" w:space="0"/>
            </w:tcBorders>
            <w:vAlign w:val="center"/>
          </w:tcPr>
          <w:p>
            <w:pPr>
              <w:pageBreakBefore w:val="0"/>
              <w:widowControl w:val="0"/>
              <w:kinsoku/>
              <w:wordWrap/>
              <w:overflowPunct/>
              <w:topLinePunct w:val="0"/>
              <w:autoSpaceDE/>
              <w:autoSpaceDN w:val="0"/>
              <w:bidi w:val="0"/>
              <w:spacing w:line="360" w:lineRule="auto"/>
              <w:jc w:val="center"/>
              <w:textAlignment w:val="center"/>
              <w:rPr>
                <w:rFonts w:hint="eastAsia" w:ascii="仿宋" w:hAnsi="仿宋" w:eastAsia="仿宋" w:cs="仿宋"/>
                <w:color w:val="000000"/>
                <w:sz w:val="28"/>
                <w:szCs w:val="28"/>
              </w:rPr>
            </w:pPr>
            <w:r>
              <w:rPr>
                <w:rFonts w:hint="eastAsia" w:ascii="仿宋" w:hAnsi="仿宋" w:eastAsia="仿宋" w:cs="仿宋"/>
                <w:color w:val="000000"/>
                <w:sz w:val="28"/>
                <w:szCs w:val="28"/>
              </w:rPr>
              <w:t>合计</w:t>
            </w:r>
          </w:p>
        </w:tc>
        <w:tc>
          <w:tcPr>
            <w:tcW w:w="1724" w:type="dxa"/>
            <w:tcBorders>
              <w:top w:val="single" w:color="000000" w:sz="4" w:space="0"/>
              <w:left w:val="single" w:color="000000" w:sz="4" w:space="0"/>
              <w:bottom w:val="single" w:color="000000" w:sz="4" w:space="0"/>
              <w:right w:val="single" w:color="000000" w:sz="4" w:space="0"/>
            </w:tcBorders>
            <w:vAlign w:val="center"/>
          </w:tcPr>
          <w:p>
            <w:pPr>
              <w:pageBreakBefore w:val="0"/>
              <w:widowControl w:val="0"/>
              <w:kinsoku/>
              <w:wordWrap/>
              <w:overflowPunct/>
              <w:topLinePunct w:val="0"/>
              <w:autoSpaceDE/>
              <w:autoSpaceDN w:val="0"/>
              <w:bidi w:val="0"/>
              <w:spacing w:line="360" w:lineRule="auto"/>
              <w:jc w:val="right"/>
              <w:textAlignment w:val="center"/>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 xml:space="preserve">2,997,714.00  </w:t>
            </w:r>
          </w:p>
        </w:tc>
        <w:tc>
          <w:tcPr>
            <w:tcW w:w="1748" w:type="dxa"/>
            <w:tcBorders>
              <w:top w:val="single" w:color="000000" w:sz="4" w:space="0"/>
              <w:left w:val="single" w:color="000000" w:sz="4" w:space="0"/>
              <w:bottom w:val="single" w:color="000000" w:sz="4" w:space="0"/>
              <w:right w:val="single" w:color="000000" w:sz="4" w:space="0"/>
            </w:tcBorders>
            <w:vAlign w:val="center"/>
          </w:tcPr>
          <w:p>
            <w:pPr>
              <w:pageBreakBefore w:val="0"/>
              <w:widowControl w:val="0"/>
              <w:kinsoku/>
              <w:wordWrap/>
              <w:overflowPunct/>
              <w:topLinePunct w:val="0"/>
              <w:autoSpaceDE/>
              <w:autoSpaceDN w:val="0"/>
              <w:bidi w:val="0"/>
              <w:spacing w:line="360" w:lineRule="auto"/>
              <w:jc w:val="right"/>
              <w:textAlignment w:val="center"/>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3,119,593.20</w:t>
            </w:r>
          </w:p>
        </w:tc>
        <w:tc>
          <w:tcPr>
            <w:tcW w:w="1943" w:type="dxa"/>
            <w:tcBorders>
              <w:top w:val="single" w:color="000000" w:sz="4" w:space="0"/>
              <w:left w:val="single" w:color="000000" w:sz="4" w:space="0"/>
              <w:bottom w:val="single" w:color="000000" w:sz="4" w:space="0"/>
              <w:right w:val="single" w:color="000000" w:sz="4" w:space="0"/>
            </w:tcBorders>
            <w:vAlign w:val="bottom"/>
          </w:tcPr>
          <w:p>
            <w:pPr>
              <w:keepNext w:val="0"/>
              <w:keepLines w:val="0"/>
              <w:widowControl/>
              <w:suppressLineNumbers w:val="0"/>
              <w:jc w:val="right"/>
              <w:textAlignment w:val="bottom"/>
              <w:rPr>
                <w:rFonts w:hint="eastAsia" w:ascii="仿宋" w:hAnsi="仿宋" w:eastAsia="仿宋" w:cs="仿宋"/>
                <w:color w:val="000000"/>
                <w:sz w:val="28"/>
                <w:szCs w:val="28"/>
                <w:lang w:val="en-US" w:eastAsia="zh-CN"/>
              </w:rPr>
            </w:pPr>
            <w:r>
              <w:rPr>
                <w:rFonts w:hint="eastAsia" w:ascii="仿宋" w:hAnsi="仿宋" w:eastAsia="仿宋" w:cs="仿宋"/>
                <w:i w:val="0"/>
                <w:color w:val="000000"/>
                <w:kern w:val="0"/>
                <w:sz w:val="28"/>
                <w:szCs w:val="28"/>
                <w:u w:val="none"/>
                <w:lang w:val="en-US" w:eastAsia="zh-CN" w:bidi="ar"/>
              </w:rPr>
              <w:t xml:space="preserve">-121,879.20 </w:t>
            </w:r>
          </w:p>
        </w:tc>
      </w:tr>
    </w:tbl>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rPr>
          <w:rFonts w:hint="eastAsia" w:ascii="仿宋" w:hAnsi="仿宋" w:eastAsia="仿宋" w:cs="仿宋"/>
          <w:color w:val="000000"/>
          <w:sz w:val="30"/>
          <w:szCs w:val="30"/>
        </w:rPr>
      </w:pPr>
      <w:bookmarkStart w:id="11" w:name="_Toc4941"/>
      <w:bookmarkStart w:id="12" w:name="_Toc5261"/>
      <w:r>
        <w:rPr>
          <w:rFonts w:hint="eastAsia" w:ascii="仿宋" w:hAnsi="仿宋" w:eastAsia="仿宋" w:cs="仿宋"/>
          <w:sz w:val="30"/>
          <w:szCs w:val="30"/>
          <w:lang w:val="en-US" w:eastAsia="zh-CN"/>
        </w:rPr>
        <w:t>从上表反映，本单位基本支出预算超支121,879.20元，其中：工资福利节约</w:t>
      </w:r>
      <w:r>
        <w:rPr>
          <w:rFonts w:hint="eastAsia" w:ascii="仿宋" w:hAnsi="仿宋" w:eastAsia="仿宋" w:cs="仿宋"/>
          <w:i w:val="0"/>
          <w:color w:val="000000"/>
          <w:kern w:val="0"/>
          <w:sz w:val="28"/>
          <w:szCs w:val="28"/>
          <w:u w:val="none"/>
          <w:lang w:val="en-US" w:eastAsia="zh-CN" w:bidi="ar"/>
        </w:rPr>
        <w:t>8,179.51</w:t>
      </w:r>
      <w:r>
        <w:rPr>
          <w:rFonts w:hint="eastAsia" w:ascii="仿宋" w:hAnsi="仿宋" w:eastAsia="仿宋" w:cs="仿宋"/>
          <w:sz w:val="30"/>
          <w:szCs w:val="30"/>
          <w:lang w:val="en-US" w:eastAsia="zh-CN"/>
        </w:rPr>
        <w:t>元，对个人和家庭的补助超支</w:t>
      </w:r>
      <w:r>
        <w:rPr>
          <w:rFonts w:hint="eastAsia" w:ascii="仿宋" w:hAnsi="仿宋" w:eastAsia="仿宋" w:cs="仿宋"/>
          <w:i w:val="0"/>
          <w:color w:val="000000"/>
          <w:kern w:val="0"/>
          <w:sz w:val="28"/>
          <w:szCs w:val="28"/>
          <w:u w:val="none"/>
          <w:lang w:val="en-US" w:eastAsia="zh-CN" w:bidi="ar"/>
        </w:rPr>
        <w:t>196,479.72</w:t>
      </w:r>
      <w:r>
        <w:rPr>
          <w:rFonts w:hint="eastAsia" w:ascii="仿宋" w:hAnsi="仿宋" w:eastAsia="仿宋" w:cs="仿宋"/>
          <w:sz w:val="30"/>
          <w:szCs w:val="30"/>
          <w:lang w:val="en-US" w:eastAsia="zh-CN"/>
        </w:rPr>
        <w:t>元，商品和服务支出节约66,421.01元。</w:t>
      </w:r>
    </w:p>
    <w:p>
      <w:pPr>
        <w:pStyle w:val="4"/>
        <w:pageBreakBefore w:val="0"/>
        <w:widowControl w:val="0"/>
        <w:kinsoku/>
        <w:wordWrap/>
        <w:overflowPunct/>
        <w:topLinePunct w:val="0"/>
        <w:autoSpaceDE/>
        <w:autoSpaceDN/>
        <w:bidi w:val="0"/>
        <w:spacing w:line="360" w:lineRule="auto"/>
        <w:rPr>
          <w:rFonts w:hint="eastAsia" w:ascii="仿宋" w:hAnsi="仿宋" w:eastAsia="仿宋" w:cs="仿宋"/>
          <w:color w:val="000000"/>
          <w:sz w:val="30"/>
          <w:szCs w:val="30"/>
        </w:rPr>
      </w:pPr>
      <w:bookmarkStart w:id="13" w:name="_Toc11609"/>
      <w:r>
        <w:rPr>
          <w:rFonts w:hint="eastAsia" w:ascii="仿宋" w:hAnsi="仿宋" w:eastAsia="仿宋" w:cs="仿宋"/>
          <w:kern w:val="2"/>
          <w:sz w:val="30"/>
          <w:szCs w:val="30"/>
          <w:lang w:val="en-US" w:eastAsia="zh-CN" w:bidi="ar-SA"/>
        </w:rPr>
        <w:t>3、“三公经费”支出使用和管理情况</w:t>
      </w:r>
      <w:bookmarkEnd w:id="11"/>
      <w:bookmarkEnd w:id="12"/>
      <w:bookmarkEnd w:id="13"/>
    </w:p>
    <w:p>
      <w:pPr>
        <w:pageBreakBefore w:val="0"/>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kinsoku/>
        <w:wordWrap/>
        <w:overflowPunct/>
        <w:topLinePunct w:val="0"/>
        <w:autoSpaceDE/>
        <w:autoSpaceDN/>
        <w:bidi w:val="0"/>
        <w:adjustRightInd w:val="0"/>
        <w:snapToGrid w:val="0"/>
        <w:spacing w:line="360" w:lineRule="auto"/>
        <w:ind w:firstLine="600" w:firstLineChars="200"/>
        <w:rPr>
          <w:rFonts w:hint="eastAsia" w:ascii="仿宋" w:hAnsi="仿宋" w:eastAsia="仿宋" w:cs="仿宋"/>
          <w:color w:val="000000"/>
          <w:sz w:val="30"/>
          <w:szCs w:val="30"/>
          <w:lang w:eastAsia="zh-CN"/>
        </w:rPr>
      </w:pPr>
      <w:r>
        <w:rPr>
          <w:rFonts w:hint="eastAsia" w:ascii="仿宋" w:hAnsi="仿宋" w:eastAsia="仿宋" w:cs="仿宋"/>
          <w:color w:val="000000"/>
          <w:sz w:val="30"/>
          <w:szCs w:val="30"/>
          <w:lang w:eastAsia="zh-CN"/>
        </w:rPr>
        <w:t>2019年</w:t>
      </w:r>
      <w:r>
        <w:rPr>
          <w:rFonts w:hint="eastAsia" w:ascii="仿宋" w:hAnsi="仿宋" w:eastAsia="仿宋" w:cs="仿宋"/>
          <w:color w:val="000000"/>
          <w:sz w:val="30"/>
          <w:szCs w:val="30"/>
        </w:rPr>
        <w:t>本单位“三公经费”预算金额40,000.00元，其中公务接待费40,000.00元，因公出国（境）费0.00元，公务用车运行费</w:t>
      </w:r>
      <w:r>
        <w:rPr>
          <w:rFonts w:hint="eastAsia" w:ascii="仿宋" w:hAnsi="仿宋" w:eastAsia="仿宋" w:cs="仿宋"/>
          <w:color w:val="000000"/>
          <w:sz w:val="30"/>
          <w:szCs w:val="30"/>
          <w:lang w:val="en-US" w:eastAsia="zh-CN"/>
        </w:rPr>
        <w:t>0</w:t>
      </w:r>
      <w:r>
        <w:rPr>
          <w:rFonts w:hint="eastAsia" w:ascii="仿宋" w:hAnsi="仿宋" w:eastAsia="仿宋" w:cs="仿宋"/>
          <w:color w:val="000000"/>
          <w:sz w:val="30"/>
          <w:szCs w:val="30"/>
        </w:rPr>
        <w:t>.00元；</w:t>
      </w:r>
      <w:r>
        <w:rPr>
          <w:rFonts w:hint="eastAsia" w:ascii="仿宋" w:hAnsi="仿宋" w:eastAsia="仿宋" w:cs="仿宋"/>
          <w:color w:val="000000"/>
          <w:sz w:val="30"/>
          <w:szCs w:val="30"/>
          <w:lang w:eastAsia="zh-CN"/>
        </w:rPr>
        <w:t>2019年</w:t>
      </w:r>
      <w:r>
        <w:rPr>
          <w:rFonts w:hint="eastAsia" w:ascii="仿宋" w:hAnsi="仿宋" w:eastAsia="仿宋" w:cs="仿宋"/>
          <w:color w:val="000000"/>
          <w:sz w:val="30"/>
          <w:szCs w:val="30"/>
        </w:rPr>
        <w:t>本单位“三公经费”决算金额为</w:t>
      </w:r>
      <w:r>
        <w:rPr>
          <w:rFonts w:hint="eastAsia" w:ascii="仿宋" w:hAnsi="仿宋" w:eastAsia="仿宋" w:cs="仿宋"/>
          <w:color w:val="000000"/>
          <w:sz w:val="30"/>
          <w:szCs w:val="30"/>
          <w:lang w:val="en-US" w:eastAsia="zh-CN"/>
        </w:rPr>
        <w:t>4,026.00</w:t>
      </w:r>
      <w:r>
        <w:rPr>
          <w:rFonts w:hint="eastAsia" w:ascii="仿宋" w:hAnsi="仿宋" w:eastAsia="仿宋" w:cs="仿宋"/>
          <w:color w:val="000000"/>
          <w:sz w:val="30"/>
          <w:szCs w:val="30"/>
        </w:rPr>
        <w:t>元，其中公务接待费4,026.00元，因公出国（境）费</w:t>
      </w:r>
      <w:r>
        <w:rPr>
          <w:rFonts w:hint="eastAsia" w:ascii="仿宋" w:hAnsi="仿宋" w:eastAsia="仿宋" w:cs="仿宋"/>
          <w:color w:val="000000"/>
          <w:sz w:val="30"/>
          <w:szCs w:val="30"/>
          <w:lang w:val="en-US" w:eastAsia="zh-CN"/>
        </w:rPr>
        <w:t>0.00</w:t>
      </w:r>
      <w:r>
        <w:rPr>
          <w:rFonts w:hint="eastAsia" w:ascii="仿宋" w:hAnsi="仿宋" w:eastAsia="仿宋" w:cs="仿宋"/>
          <w:color w:val="000000"/>
          <w:sz w:val="30"/>
          <w:szCs w:val="30"/>
        </w:rPr>
        <w:t>元，公务用车运行费</w:t>
      </w:r>
      <w:r>
        <w:rPr>
          <w:rFonts w:hint="eastAsia" w:ascii="仿宋" w:hAnsi="仿宋" w:eastAsia="仿宋" w:cs="仿宋"/>
          <w:color w:val="000000"/>
          <w:sz w:val="30"/>
          <w:szCs w:val="30"/>
          <w:lang w:val="en-US" w:eastAsia="zh-CN"/>
        </w:rPr>
        <w:t>0.00</w:t>
      </w:r>
      <w:r>
        <w:rPr>
          <w:rFonts w:hint="eastAsia" w:ascii="仿宋" w:hAnsi="仿宋" w:eastAsia="仿宋" w:cs="仿宋"/>
          <w:color w:val="000000"/>
          <w:sz w:val="30"/>
          <w:szCs w:val="30"/>
        </w:rPr>
        <w:t>元</w:t>
      </w:r>
      <w:r>
        <w:rPr>
          <w:rFonts w:hint="eastAsia" w:ascii="仿宋" w:hAnsi="仿宋" w:eastAsia="仿宋" w:cs="仿宋"/>
          <w:color w:val="000000"/>
          <w:sz w:val="30"/>
          <w:szCs w:val="30"/>
          <w:lang w:eastAsia="zh-CN"/>
        </w:rPr>
        <w:t>；2019年</w:t>
      </w:r>
      <w:r>
        <w:rPr>
          <w:rFonts w:hint="eastAsia" w:ascii="仿宋" w:hAnsi="仿宋" w:eastAsia="仿宋" w:cs="仿宋"/>
          <w:color w:val="000000"/>
          <w:sz w:val="30"/>
          <w:szCs w:val="30"/>
        </w:rPr>
        <w:t>“三公经费”</w:t>
      </w:r>
      <w:r>
        <w:rPr>
          <w:rFonts w:hint="eastAsia" w:ascii="仿宋" w:hAnsi="仿宋" w:eastAsia="仿宋" w:cs="仿宋"/>
          <w:color w:val="000000"/>
          <w:sz w:val="30"/>
          <w:szCs w:val="30"/>
          <w:lang w:val="en-US" w:eastAsia="zh-CN"/>
        </w:rPr>
        <w:t>结余35,974.00</w:t>
      </w:r>
      <w:r>
        <w:rPr>
          <w:rFonts w:hint="eastAsia" w:ascii="仿宋" w:hAnsi="仿宋" w:eastAsia="仿宋" w:cs="仿宋"/>
          <w:color w:val="000000"/>
          <w:sz w:val="30"/>
          <w:szCs w:val="30"/>
        </w:rPr>
        <w:t>元</w:t>
      </w:r>
      <w:r>
        <w:rPr>
          <w:rFonts w:hint="eastAsia" w:ascii="仿宋" w:hAnsi="仿宋" w:eastAsia="仿宋" w:cs="仿宋"/>
          <w:color w:val="000000"/>
          <w:sz w:val="30"/>
          <w:szCs w:val="30"/>
          <w:lang w:eastAsia="zh-CN"/>
        </w:rPr>
        <w:t>。</w:t>
      </w:r>
    </w:p>
    <w:p>
      <w:pPr>
        <w:pageBreakBefore w:val="0"/>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kinsoku/>
        <w:wordWrap/>
        <w:overflowPunct/>
        <w:topLinePunct w:val="0"/>
        <w:autoSpaceDE/>
        <w:autoSpaceDN/>
        <w:bidi w:val="0"/>
        <w:adjustRightInd w:val="0"/>
        <w:snapToGrid w:val="0"/>
        <w:spacing w:line="360" w:lineRule="auto"/>
        <w:ind w:firstLine="600" w:firstLineChars="200"/>
        <w:outlineLvl w:val="1"/>
        <w:rPr>
          <w:rFonts w:hint="eastAsia" w:ascii="仿宋" w:hAnsi="仿宋" w:eastAsia="仿宋" w:cs="仿宋"/>
          <w:b/>
          <w:bCs/>
          <w:color w:val="000000"/>
          <w:sz w:val="30"/>
          <w:szCs w:val="30"/>
          <w:lang w:eastAsia="zh-CN"/>
        </w:rPr>
      </w:pPr>
      <w:bookmarkStart w:id="14" w:name="_Toc9121"/>
      <w:r>
        <w:rPr>
          <w:rFonts w:hint="eastAsia" w:ascii="仿宋" w:hAnsi="仿宋" w:eastAsia="仿宋" w:cs="仿宋"/>
          <w:b/>
          <w:bCs/>
          <w:color w:val="000000"/>
          <w:sz w:val="30"/>
          <w:szCs w:val="30"/>
          <w:lang w:eastAsia="zh-CN"/>
        </w:rPr>
        <w:t>（二）项目支出管理情况</w:t>
      </w:r>
      <w:bookmarkEnd w:id="14"/>
    </w:p>
    <w:p>
      <w:pPr>
        <w:pageBreakBefore w:val="0"/>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kinsoku/>
        <w:wordWrap/>
        <w:overflowPunct/>
        <w:topLinePunct w:val="0"/>
        <w:autoSpaceDE/>
        <w:autoSpaceDN/>
        <w:bidi w:val="0"/>
        <w:adjustRightInd w:val="0"/>
        <w:snapToGrid w:val="0"/>
        <w:spacing w:line="360" w:lineRule="auto"/>
        <w:ind w:firstLine="600" w:firstLineChars="200"/>
        <w:outlineLvl w:val="2"/>
        <w:rPr>
          <w:rFonts w:hint="eastAsia" w:ascii="仿宋" w:hAnsi="仿宋" w:eastAsia="仿宋" w:cs="仿宋"/>
          <w:color w:val="000000"/>
          <w:sz w:val="30"/>
          <w:szCs w:val="30"/>
          <w:lang w:eastAsia="zh-CN"/>
        </w:rPr>
      </w:pPr>
      <w:bookmarkStart w:id="15" w:name="_Toc18726"/>
      <w:r>
        <w:rPr>
          <w:rFonts w:hint="eastAsia" w:ascii="仿宋" w:hAnsi="仿宋" w:eastAsia="仿宋" w:cs="仿宋"/>
          <w:color w:val="000000"/>
          <w:sz w:val="30"/>
          <w:szCs w:val="30"/>
          <w:lang w:eastAsia="zh-CN"/>
        </w:rPr>
        <w:t>1、项目资金本年使用情况</w:t>
      </w:r>
      <w:bookmarkEnd w:id="15"/>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lang w:eastAsia="zh-CN"/>
        </w:rPr>
        <w:t>2019年项目资金预算支出为</w:t>
      </w:r>
      <w:r>
        <w:rPr>
          <w:rFonts w:hint="eastAsia" w:ascii="仿宋" w:hAnsi="仿宋" w:eastAsia="仿宋" w:cs="仿宋"/>
          <w:sz w:val="30"/>
          <w:szCs w:val="30"/>
          <w:lang w:val="en-US" w:eastAsia="zh-CN"/>
        </w:rPr>
        <w:t>2,000,000.00</w:t>
      </w:r>
      <w:r>
        <w:rPr>
          <w:rFonts w:hint="eastAsia" w:ascii="仿宋" w:hAnsi="仿宋" w:eastAsia="仿宋" w:cs="仿宋"/>
          <w:sz w:val="30"/>
          <w:szCs w:val="30"/>
          <w:lang w:eastAsia="zh-CN"/>
        </w:rPr>
        <w:t>元，本年实际项目支出实际支出1,980,124.23元，其中：工资福利支出192,660.17</w:t>
      </w:r>
      <w:r>
        <w:rPr>
          <w:rFonts w:hint="eastAsia" w:ascii="仿宋" w:hAnsi="仿宋" w:eastAsia="仿宋" w:cs="仿宋"/>
          <w:sz w:val="30"/>
          <w:szCs w:val="30"/>
          <w:lang w:val="en-US" w:eastAsia="zh-CN"/>
        </w:rPr>
        <w:t>元</w:t>
      </w:r>
      <w:r>
        <w:rPr>
          <w:rFonts w:hint="eastAsia" w:ascii="仿宋" w:hAnsi="仿宋" w:eastAsia="仿宋" w:cs="仿宋"/>
          <w:sz w:val="30"/>
          <w:szCs w:val="30"/>
          <w:lang w:eastAsia="zh-CN"/>
        </w:rPr>
        <w:t>，商品和服务支出1,205,641.24元，对个人和家庭的补助551,462.82元，资本性支出30,360.00</w:t>
      </w:r>
      <w:r>
        <w:rPr>
          <w:rFonts w:hint="eastAsia" w:ascii="仿宋" w:hAnsi="仿宋" w:eastAsia="仿宋" w:cs="仿宋"/>
          <w:sz w:val="30"/>
          <w:szCs w:val="30"/>
          <w:lang w:val="en-US" w:eastAsia="zh-CN"/>
        </w:rPr>
        <w:t>元</w:t>
      </w:r>
      <w:r>
        <w:rPr>
          <w:rFonts w:hint="eastAsia" w:ascii="仿宋" w:hAnsi="仿宋" w:eastAsia="仿宋" w:cs="仿宋"/>
          <w:sz w:val="30"/>
          <w:szCs w:val="30"/>
          <w:lang w:eastAsia="zh-CN"/>
        </w:rPr>
        <w:t>。</w:t>
      </w:r>
    </w:p>
    <w:p>
      <w:pPr>
        <w:pageBreakBefore w:val="0"/>
        <w:widowControl w:val="0"/>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kinsoku/>
        <w:wordWrap/>
        <w:overflowPunct/>
        <w:topLinePunct w:val="0"/>
        <w:autoSpaceDE/>
        <w:autoSpaceDN/>
        <w:bidi w:val="0"/>
        <w:adjustRightInd w:val="0"/>
        <w:snapToGrid w:val="0"/>
        <w:spacing w:line="360" w:lineRule="auto"/>
        <w:ind w:firstLine="600" w:firstLineChars="200"/>
        <w:outlineLvl w:val="2"/>
        <w:rPr>
          <w:rFonts w:hint="eastAsia" w:ascii="仿宋" w:hAnsi="仿宋" w:eastAsia="仿宋" w:cs="仿宋"/>
          <w:color w:val="000000"/>
          <w:sz w:val="30"/>
          <w:szCs w:val="30"/>
          <w:lang w:eastAsia="zh-CN"/>
        </w:rPr>
      </w:pPr>
      <w:bookmarkStart w:id="16" w:name="_Toc18864"/>
      <w:r>
        <w:rPr>
          <w:rFonts w:hint="eastAsia" w:ascii="仿宋" w:hAnsi="仿宋" w:eastAsia="仿宋" w:cs="仿宋"/>
          <w:color w:val="000000"/>
          <w:sz w:val="30"/>
          <w:szCs w:val="30"/>
          <w:lang w:eastAsia="zh-CN"/>
        </w:rPr>
        <w:t>本年项目资金实际使用情况分析</w:t>
      </w:r>
      <w:bookmarkEnd w:id="16"/>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lang w:eastAsia="zh-CN"/>
        </w:rPr>
        <w:t>本单位项目资金实际支出1,980,124.23元，一般公共服务支出1,980,124.23元，其中：商品和服务支出1,205,641.24元，对个人和家庭的补助</w:t>
      </w:r>
      <w:r>
        <w:rPr>
          <w:rFonts w:hint="eastAsia" w:ascii="仿宋" w:hAnsi="仿宋" w:eastAsia="仿宋" w:cs="仿宋"/>
          <w:sz w:val="30"/>
          <w:szCs w:val="30"/>
          <w:lang w:val="en-US" w:eastAsia="zh-CN"/>
        </w:rPr>
        <w:t xml:space="preserve"> </w:t>
      </w:r>
      <w:r>
        <w:rPr>
          <w:rFonts w:hint="eastAsia" w:ascii="仿宋" w:hAnsi="仿宋" w:eastAsia="仿宋" w:cs="仿宋"/>
          <w:sz w:val="30"/>
          <w:szCs w:val="30"/>
          <w:lang w:eastAsia="zh-CN"/>
        </w:rPr>
        <w:t>551,462.82元，资本性支出30,360.00</w:t>
      </w:r>
      <w:r>
        <w:rPr>
          <w:rFonts w:hint="eastAsia" w:ascii="仿宋" w:hAnsi="仿宋" w:eastAsia="仿宋" w:cs="仿宋"/>
          <w:sz w:val="30"/>
          <w:szCs w:val="30"/>
          <w:lang w:val="en-US" w:eastAsia="zh-CN"/>
        </w:rPr>
        <w:t>元</w:t>
      </w:r>
      <w:r>
        <w:rPr>
          <w:rFonts w:hint="eastAsia" w:ascii="仿宋" w:hAnsi="仿宋" w:eastAsia="仿宋" w:cs="仿宋"/>
          <w:sz w:val="30"/>
          <w:szCs w:val="30"/>
          <w:lang w:eastAsia="zh-CN"/>
        </w:rPr>
        <w:t>。</w:t>
      </w:r>
    </w:p>
    <w:p>
      <w:pPr>
        <w:pageBreakBefore w:val="0"/>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kinsoku/>
        <w:wordWrap/>
        <w:overflowPunct/>
        <w:topLinePunct w:val="0"/>
        <w:autoSpaceDE/>
        <w:autoSpaceDN/>
        <w:bidi w:val="0"/>
        <w:adjustRightInd w:val="0"/>
        <w:snapToGrid w:val="0"/>
        <w:spacing w:line="360" w:lineRule="auto"/>
        <w:ind w:firstLine="600" w:firstLineChars="200"/>
        <w:outlineLvl w:val="2"/>
        <w:rPr>
          <w:rFonts w:hint="eastAsia" w:ascii="仿宋" w:hAnsi="仿宋" w:eastAsia="仿宋" w:cs="仿宋"/>
          <w:color w:val="000000"/>
          <w:sz w:val="30"/>
          <w:szCs w:val="30"/>
          <w:lang w:eastAsia="zh-CN"/>
        </w:rPr>
      </w:pPr>
      <w:bookmarkStart w:id="17" w:name="_Toc5683"/>
      <w:r>
        <w:rPr>
          <w:rFonts w:hint="eastAsia" w:ascii="仿宋" w:hAnsi="仿宋" w:eastAsia="仿宋" w:cs="仿宋"/>
          <w:color w:val="000000"/>
          <w:sz w:val="30"/>
          <w:szCs w:val="30"/>
          <w:lang w:eastAsia="zh-CN"/>
        </w:rPr>
        <w:t>3、项目资金管理情况分析</w:t>
      </w:r>
      <w:bookmarkEnd w:id="17"/>
    </w:p>
    <w:p>
      <w:pPr>
        <w:pageBreakBefore w:val="0"/>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kinsoku/>
        <w:wordWrap/>
        <w:overflowPunct/>
        <w:topLinePunct w:val="0"/>
        <w:autoSpaceDE/>
        <w:autoSpaceDN/>
        <w:bidi w:val="0"/>
        <w:adjustRightInd w:val="0"/>
        <w:snapToGrid w:val="0"/>
        <w:spacing w:line="360" w:lineRule="auto"/>
        <w:ind w:firstLine="600" w:firstLineChars="200"/>
        <w:rPr>
          <w:rFonts w:hint="eastAsia" w:ascii="仿宋" w:hAnsi="仿宋" w:eastAsia="仿宋" w:cs="仿宋"/>
          <w:color w:val="000000"/>
          <w:sz w:val="30"/>
          <w:szCs w:val="30"/>
          <w:lang w:eastAsia="zh-CN"/>
        </w:rPr>
      </w:pPr>
      <w:r>
        <w:rPr>
          <w:rFonts w:hint="eastAsia" w:ascii="仿宋" w:hAnsi="仿宋" w:eastAsia="仿宋" w:cs="仿宋"/>
          <w:color w:val="000000"/>
          <w:sz w:val="30"/>
          <w:szCs w:val="30"/>
          <w:lang w:eastAsia="zh-CN"/>
        </w:rPr>
        <w:t>（1）科学合理安排项目资金。及早谋划，紧紧围绕我市非公经济重点工作，严把项目审查关，本着“量入为出、统筹安排、保证重点、注重绩效”的原则，认真组织项目前期申报及论证工作。</w:t>
      </w:r>
    </w:p>
    <w:p>
      <w:pPr>
        <w:pageBreakBefore w:val="0"/>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kinsoku/>
        <w:wordWrap/>
        <w:overflowPunct/>
        <w:topLinePunct w:val="0"/>
        <w:autoSpaceDE/>
        <w:autoSpaceDN/>
        <w:bidi w:val="0"/>
        <w:adjustRightInd w:val="0"/>
        <w:snapToGrid w:val="0"/>
        <w:spacing w:line="360" w:lineRule="auto"/>
        <w:ind w:firstLine="600" w:firstLineChars="200"/>
        <w:rPr>
          <w:rFonts w:hint="eastAsia" w:ascii="仿宋" w:hAnsi="仿宋" w:eastAsia="仿宋" w:cs="仿宋"/>
          <w:color w:val="000000"/>
          <w:sz w:val="30"/>
          <w:szCs w:val="30"/>
          <w:lang w:eastAsia="zh-CN"/>
        </w:rPr>
      </w:pPr>
      <w:r>
        <w:rPr>
          <w:rFonts w:hint="eastAsia" w:ascii="仿宋" w:hAnsi="仿宋" w:eastAsia="仿宋" w:cs="仿宋"/>
          <w:color w:val="000000"/>
          <w:sz w:val="30"/>
          <w:szCs w:val="30"/>
          <w:lang w:eastAsia="zh-CN"/>
        </w:rPr>
        <w:t>（2）加强项目资金的监管。加强项目实施进度跟踪监管，定期调度，掌握项目进展情况，及时发现并积极解决存在的问题，加快项目实施进度，严格项目实施质量，不断提高资金的使用效益。</w:t>
      </w:r>
    </w:p>
    <w:p>
      <w:pPr>
        <w:pageBreakBefore w:val="0"/>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kinsoku/>
        <w:wordWrap/>
        <w:overflowPunct/>
        <w:topLinePunct w:val="0"/>
        <w:autoSpaceDE/>
        <w:autoSpaceDN/>
        <w:bidi w:val="0"/>
        <w:adjustRightInd w:val="0"/>
        <w:snapToGrid w:val="0"/>
        <w:spacing w:line="360" w:lineRule="auto"/>
        <w:ind w:firstLine="600" w:firstLineChars="200"/>
        <w:rPr>
          <w:rFonts w:hint="eastAsia" w:ascii="仿宋" w:hAnsi="仿宋" w:eastAsia="仿宋" w:cs="仿宋"/>
          <w:color w:val="000000"/>
          <w:sz w:val="30"/>
          <w:szCs w:val="30"/>
          <w:lang w:eastAsia="zh-CN"/>
        </w:rPr>
      </w:pPr>
      <w:r>
        <w:rPr>
          <w:rFonts w:hint="eastAsia" w:ascii="仿宋" w:hAnsi="仿宋" w:eastAsia="仿宋" w:cs="仿宋"/>
          <w:color w:val="000000"/>
          <w:sz w:val="30"/>
          <w:szCs w:val="30"/>
          <w:lang w:eastAsia="zh-CN"/>
        </w:rPr>
        <w:t>（3）规范资金使用，严格项目验收。严格落实各项要求，对属于政府采购范围的项目，按照财政部门要求编制政府采购计划，实行政府采购，确保专款专用。严格按照相关的验收管理办法，项目验收合格后方可办理资金支付手续，确保财政资金安全及使用效益。</w:t>
      </w:r>
    </w:p>
    <w:p>
      <w:pPr>
        <w:pStyle w:val="2"/>
        <w:numPr>
          <w:ilvl w:val="0"/>
          <w:numId w:val="2"/>
        </w:numPr>
        <w:bidi w:val="0"/>
        <w:rPr>
          <w:rFonts w:hint="eastAsia"/>
          <w:lang w:eastAsia="zh-CN"/>
        </w:rPr>
      </w:pPr>
      <w:bookmarkStart w:id="18" w:name="_Toc8690"/>
      <w:r>
        <w:rPr>
          <w:rFonts w:hint="eastAsia"/>
        </w:rPr>
        <w:t>部门（单位）</w:t>
      </w:r>
      <w:r>
        <w:rPr>
          <w:rFonts w:hint="eastAsia"/>
          <w:lang w:eastAsia="zh-CN"/>
        </w:rPr>
        <w:t>资产管理情况</w:t>
      </w:r>
      <w:bookmarkEnd w:id="18"/>
    </w:p>
    <w:p>
      <w:pPr>
        <w:pageBreakBefore w:val="0"/>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kinsoku/>
        <w:wordWrap/>
        <w:overflowPunct/>
        <w:topLinePunct w:val="0"/>
        <w:autoSpaceDE/>
        <w:autoSpaceDN/>
        <w:bidi w:val="0"/>
        <w:adjustRightInd w:val="0"/>
        <w:snapToGrid w:val="0"/>
        <w:spacing w:line="360" w:lineRule="auto"/>
        <w:ind w:firstLine="600" w:firstLineChars="200"/>
        <w:rPr>
          <w:rFonts w:hint="eastAsia" w:ascii="仿宋" w:hAnsi="仿宋" w:eastAsia="仿宋" w:cs="仿宋"/>
          <w:sz w:val="30"/>
          <w:szCs w:val="30"/>
        </w:rPr>
      </w:pPr>
      <w:r>
        <w:rPr>
          <w:rFonts w:hint="eastAsia" w:ascii="仿宋" w:hAnsi="仿宋" w:eastAsia="仿宋" w:cs="仿宋"/>
          <w:sz w:val="30"/>
          <w:szCs w:val="30"/>
        </w:rPr>
        <w:t>本部门固定资产管理按照“统一领导，归口管理”的办法实行，固定资产的采购、保管、维修、配置和处置等工作由办公室负责。</w:t>
      </w:r>
    </w:p>
    <w:p>
      <w:pPr>
        <w:pageBreakBefore w:val="0"/>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kinsoku/>
        <w:wordWrap/>
        <w:overflowPunct/>
        <w:topLinePunct w:val="0"/>
        <w:autoSpaceDE/>
        <w:autoSpaceDN/>
        <w:bidi w:val="0"/>
        <w:adjustRightInd w:val="0"/>
        <w:snapToGrid w:val="0"/>
        <w:spacing w:line="360" w:lineRule="auto"/>
        <w:ind w:firstLine="600" w:firstLineChars="200"/>
        <w:rPr>
          <w:rFonts w:hint="eastAsia" w:ascii="仿宋" w:hAnsi="仿宋" w:eastAsia="仿宋" w:cs="仿宋"/>
          <w:sz w:val="30"/>
          <w:szCs w:val="30"/>
        </w:rPr>
      </w:pPr>
      <w:r>
        <w:rPr>
          <w:rFonts w:hint="eastAsia" w:ascii="仿宋" w:hAnsi="仿宋" w:eastAsia="仿宋" w:cs="仿宋"/>
          <w:sz w:val="30"/>
          <w:szCs w:val="30"/>
        </w:rPr>
        <w:t>办公室应对固定资产进行日常管理，定期进行清查盘点，保证账账相符，账实相符。年度对盘盈、盘亏的固定资产按相关规定及时处理。闲置的固定资产，按照规定及时研究处理，使之合理流动，充分发挥其使用效益。需要更新固定资产时，应严格按照国有资产处置有关规定，遵循物尽其用的原则，科学鉴定在用办公设备的报废条件，办理闲置或拟报废资产的处置手续后方可申报购置预算。</w:t>
      </w:r>
    </w:p>
    <w:p>
      <w:pPr>
        <w:pStyle w:val="2"/>
        <w:numPr>
          <w:ilvl w:val="0"/>
          <w:numId w:val="2"/>
        </w:numPr>
        <w:bidi w:val="0"/>
        <w:rPr>
          <w:rFonts w:hint="eastAsia"/>
        </w:rPr>
      </w:pPr>
      <w:bookmarkStart w:id="19" w:name="_Toc22480"/>
      <w:r>
        <w:rPr>
          <w:rFonts w:hint="eastAsia"/>
        </w:rPr>
        <w:t>部门（单位）整体支出绩效目标及开展情况</w:t>
      </w:r>
      <w:bookmarkEnd w:id="19"/>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05" w:beforeAutospacing="0" w:after="105" w:afterAutospacing="0" w:line="360" w:lineRule="auto"/>
        <w:ind w:left="0" w:right="0" w:firstLine="600" w:firstLineChars="200"/>
        <w:textAlignment w:val="center"/>
        <w:rPr>
          <w:rFonts w:hint="eastAsia" w:ascii="仿宋" w:hAnsi="仿宋" w:eastAsia="仿宋" w:cs="仿宋"/>
          <w:i w:val="0"/>
          <w:caps w:val="0"/>
          <w:color w:val="333333"/>
          <w:spacing w:val="0"/>
          <w:sz w:val="30"/>
          <w:szCs w:val="30"/>
          <w:shd w:val="clear" w:fill="FFFFFF"/>
        </w:rPr>
      </w:pPr>
      <w:r>
        <w:rPr>
          <w:rFonts w:hint="eastAsia" w:ascii="仿宋" w:hAnsi="仿宋" w:eastAsia="仿宋" w:cs="仿宋"/>
          <w:i w:val="0"/>
          <w:caps w:val="0"/>
          <w:color w:val="333333"/>
          <w:spacing w:val="0"/>
          <w:sz w:val="30"/>
          <w:szCs w:val="30"/>
          <w:shd w:val="clear" w:fill="FFFFFF"/>
        </w:rPr>
        <w:t>2019年，全区工会工作的总体要求是：以习近平新时代中国特色社会主义思想为指导，深入学习习近平总书记关于工人阶级和工会工作的重要论述，贯彻落实党的十九大、中国工会十七大、省工会十六大、市工会二十大和区工会二大精神，坚定不移地走中国特色社会主义工会发展道路，围绕区委、区政府工作大局和全总、省总及市总工作部署，紧扣工会深化改革这条主线，“强三性”、“去四化”，着力构建和谐劳动关系，切实维护职工合法权益，团结动员全区广大职工充分发挥工人阶级主力军作用，为新时代名望之城高质量发展建功立业。</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105" w:beforeAutospacing="0" w:after="105" w:afterAutospacing="0" w:line="360" w:lineRule="auto"/>
        <w:ind w:left="0" w:right="0" w:firstLine="0"/>
        <w:textAlignment w:val="center"/>
        <w:rPr>
          <w:rFonts w:hint="eastAsia" w:ascii="仿宋" w:hAnsi="仿宋" w:eastAsia="仿宋" w:cs="仿宋"/>
          <w:i w:val="0"/>
          <w:caps w:val="0"/>
          <w:color w:val="333333"/>
          <w:spacing w:val="0"/>
          <w:sz w:val="30"/>
          <w:szCs w:val="30"/>
        </w:rPr>
      </w:pPr>
      <w:r>
        <w:rPr>
          <w:rFonts w:hint="eastAsia" w:ascii="仿宋" w:hAnsi="仿宋" w:eastAsia="仿宋" w:cs="仿宋"/>
          <w:i w:val="0"/>
          <w:caps w:val="0"/>
          <w:color w:val="333333"/>
          <w:spacing w:val="0"/>
          <w:sz w:val="30"/>
          <w:szCs w:val="30"/>
          <w:shd w:val="clear" w:fill="FFFFFF"/>
        </w:rPr>
        <w:t>　　一、强化理论武装，提高党员思想政治素质 </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105" w:beforeAutospacing="0" w:after="105" w:afterAutospacing="0" w:line="360" w:lineRule="auto"/>
        <w:ind w:left="0" w:right="0" w:firstLine="0"/>
        <w:textAlignment w:val="center"/>
        <w:rPr>
          <w:rFonts w:hint="eastAsia" w:ascii="仿宋" w:hAnsi="仿宋" w:eastAsia="仿宋" w:cs="仿宋"/>
          <w:i w:val="0"/>
          <w:caps w:val="0"/>
          <w:color w:val="333333"/>
          <w:spacing w:val="0"/>
          <w:sz w:val="30"/>
          <w:szCs w:val="30"/>
        </w:rPr>
      </w:pPr>
      <w:r>
        <w:rPr>
          <w:rFonts w:hint="eastAsia" w:ascii="仿宋" w:hAnsi="仿宋" w:eastAsia="仿宋" w:cs="仿宋"/>
          <w:i w:val="0"/>
          <w:caps w:val="0"/>
          <w:color w:val="333333"/>
          <w:spacing w:val="0"/>
          <w:sz w:val="30"/>
          <w:szCs w:val="30"/>
          <w:shd w:val="clear" w:fill="FFFFFF"/>
        </w:rPr>
        <w:t>　　1.开展形式多样的学习教育。坚持以党组中心组学习为龙头，以支部集中学习和个人自学为主体，采取专题辅导、讨论交流、学习会、读书活动等多种形式，继续组织全体党员干部认真学习贯彻习近平新时代中国特色社会主义思想和</w:t>
      </w:r>
      <w:r>
        <w:rPr>
          <w:rFonts w:hint="eastAsia" w:ascii="仿宋" w:hAnsi="仿宋" w:eastAsia="仿宋" w:cs="仿宋"/>
          <w:i w:val="0"/>
          <w:caps w:val="0"/>
          <w:color w:val="333333"/>
          <w:spacing w:val="0"/>
          <w:sz w:val="30"/>
          <w:szCs w:val="30"/>
          <w:shd w:val="clear" w:fill="FFFFFF"/>
          <w:lang w:eastAsia="zh-CN"/>
        </w:rPr>
        <w:t>党的</w:t>
      </w:r>
      <w:bookmarkStart w:id="28" w:name="_GoBack"/>
      <w:bookmarkEnd w:id="28"/>
      <w:r>
        <w:rPr>
          <w:rFonts w:hint="eastAsia" w:ascii="仿宋" w:hAnsi="仿宋" w:eastAsia="仿宋" w:cs="仿宋"/>
          <w:i w:val="0"/>
          <w:caps w:val="0"/>
          <w:color w:val="333333"/>
          <w:spacing w:val="0"/>
          <w:sz w:val="30"/>
          <w:szCs w:val="30"/>
          <w:shd w:val="clear" w:fill="FFFFFF"/>
        </w:rPr>
        <w:t>十九大精神。每季度组织全体党员干部集中学习讨论1次以上，积极参加上级各部门组织的相关培训及学习活动，用党的先进理论和思想武装头脑、指导实践。 </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105" w:beforeAutospacing="0" w:after="105" w:afterAutospacing="0" w:line="360" w:lineRule="auto"/>
        <w:ind w:left="0" w:right="0" w:firstLine="0"/>
        <w:textAlignment w:val="center"/>
        <w:rPr>
          <w:rFonts w:hint="eastAsia" w:ascii="仿宋" w:hAnsi="仿宋" w:eastAsia="仿宋" w:cs="仿宋"/>
          <w:i w:val="0"/>
          <w:caps w:val="0"/>
          <w:color w:val="333333"/>
          <w:spacing w:val="0"/>
          <w:sz w:val="30"/>
          <w:szCs w:val="30"/>
        </w:rPr>
      </w:pPr>
      <w:r>
        <w:rPr>
          <w:rFonts w:hint="eastAsia" w:ascii="仿宋" w:hAnsi="仿宋" w:eastAsia="仿宋" w:cs="仿宋"/>
          <w:i w:val="0"/>
          <w:caps w:val="0"/>
          <w:color w:val="333333"/>
          <w:spacing w:val="0"/>
          <w:sz w:val="30"/>
          <w:szCs w:val="30"/>
          <w:shd w:val="clear" w:fill="FFFFFF"/>
        </w:rPr>
        <w:t>　　2.认真开展“不忘初心、牢记使命”主题教育。按照上级部署安排，开展“不忘初心、牢记使命”主题教育，引导全体党员悟初心、守初心、践初心，更加自觉地为实现新时代党的历史使命不懈奋斗。 </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105" w:beforeAutospacing="0" w:after="105" w:afterAutospacing="0" w:line="360" w:lineRule="auto"/>
        <w:ind w:left="0" w:right="0" w:firstLine="0"/>
        <w:textAlignment w:val="center"/>
        <w:rPr>
          <w:rFonts w:hint="eastAsia" w:ascii="仿宋" w:hAnsi="仿宋" w:eastAsia="仿宋" w:cs="仿宋"/>
          <w:i w:val="0"/>
          <w:caps w:val="0"/>
          <w:color w:val="333333"/>
          <w:spacing w:val="0"/>
          <w:sz w:val="30"/>
          <w:szCs w:val="30"/>
        </w:rPr>
      </w:pPr>
      <w:r>
        <w:rPr>
          <w:rFonts w:hint="eastAsia" w:ascii="仿宋" w:hAnsi="仿宋" w:eastAsia="仿宋" w:cs="仿宋"/>
          <w:i w:val="0"/>
          <w:caps w:val="0"/>
          <w:color w:val="333333"/>
          <w:spacing w:val="0"/>
          <w:sz w:val="30"/>
          <w:szCs w:val="30"/>
          <w:shd w:val="clear" w:fill="FFFFFF"/>
        </w:rPr>
        <w:t>　　3.加强思想政治工作。贯彻落实中央、省市区有关意识形态工作部署，开展经常性的谈心谈话活动，及时掌握党员干部的思想动态，引导党员干部坚定理想信念，激励党员干部立足岗位、敬业奉献。 </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105" w:beforeAutospacing="0" w:after="105" w:afterAutospacing="0" w:line="360" w:lineRule="auto"/>
        <w:ind w:left="0" w:right="0" w:firstLine="0"/>
        <w:textAlignment w:val="center"/>
        <w:rPr>
          <w:rFonts w:hint="eastAsia" w:ascii="仿宋" w:hAnsi="仿宋" w:eastAsia="仿宋" w:cs="仿宋"/>
          <w:i w:val="0"/>
          <w:caps w:val="0"/>
          <w:color w:val="333333"/>
          <w:spacing w:val="0"/>
          <w:sz w:val="30"/>
          <w:szCs w:val="30"/>
        </w:rPr>
      </w:pPr>
      <w:r>
        <w:rPr>
          <w:rFonts w:hint="eastAsia" w:ascii="仿宋" w:hAnsi="仿宋" w:eastAsia="仿宋" w:cs="仿宋"/>
          <w:i w:val="0"/>
          <w:caps w:val="0"/>
          <w:color w:val="333333"/>
          <w:spacing w:val="0"/>
          <w:sz w:val="30"/>
          <w:szCs w:val="30"/>
          <w:shd w:val="clear" w:fill="FFFFFF"/>
        </w:rPr>
        <w:t>　　二、强化党建基础，着力推进工作规范化 </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105" w:beforeAutospacing="0" w:after="105" w:afterAutospacing="0" w:line="360" w:lineRule="auto"/>
        <w:ind w:left="0" w:right="0" w:firstLine="0"/>
        <w:textAlignment w:val="center"/>
        <w:rPr>
          <w:rFonts w:hint="eastAsia" w:ascii="仿宋" w:hAnsi="仿宋" w:eastAsia="仿宋" w:cs="仿宋"/>
          <w:i w:val="0"/>
          <w:caps w:val="0"/>
          <w:color w:val="333333"/>
          <w:spacing w:val="0"/>
          <w:sz w:val="30"/>
          <w:szCs w:val="30"/>
        </w:rPr>
      </w:pPr>
      <w:r>
        <w:rPr>
          <w:rFonts w:hint="eastAsia" w:ascii="仿宋" w:hAnsi="仿宋" w:eastAsia="仿宋" w:cs="仿宋"/>
          <w:i w:val="0"/>
          <w:caps w:val="0"/>
          <w:color w:val="333333"/>
          <w:spacing w:val="0"/>
          <w:sz w:val="30"/>
          <w:szCs w:val="30"/>
          <w:shd w:val="clear" w:fill="FFFFFF"/>
        </w:rPr>
        <w:t>　　1.认真落实管党责任。进一步健全党建工作责任制，认真落实党组织书记年度履职“双述双评”制度。 </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105" w:beforeAutospacing="0" w:after="105" w:afterAutospacing="0" w:line="360" w:lineRule="auto"/>
        <w:ind w:left="0" w:right="0" w:firstLine="0"/>
        <w:textAlignment w:val="center"/>
        <w:rPr>
          <w:rFonts w:hint="eastAsia" w:ascii="仿宋" w:hAnsi="仿宋" w:eastAsia="仿宋" w:cs="仿宋"/>
          <w:i w:val="0"/>
          <w:caps w:val="0"/>
          <w:color w:val="333333"/>
          <w:spacing w:val="0"/>
          <w:sz w:val="30"/>
          <w:szCs w:val="30"/>
        </w:rPr>
      </w:pPr>
      <w:r>
        <w:rPr>
          <w:rFonts w:hint="eastAsia" w:ascii="仿宋" w:hAnsi="仿宋" w:eastAsia="仿宋" w:cs="仿宋"/>
          <w:i w:val="0"/>
          <w:caps w:val="0"/>
          <w:color w:val="333333"/>
          <w:spacing w:val="0"/>
          <w:sz w:val="30"/>
          <w:szCs w:val="30"/>
          <w:shd w:val="clear" w:fill="FFFFFF"/>
        </w:rPr>
        <w:t>　　2.夯实日常基础工作。按照党支部“五化”建设要求，积极推进机关支部强基固本，按要求及时做好党务公开、党员发展、党费收缴、党员组织关系结转等工作。年内计划在社会化职业工会工作者中发展党员1名。 </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105" w:beforeAutospacing="0" w:after="105" w:afterAutospacing="0" w:line="360" w:lineRule="auto"/>
        <w:ind w:left="0" w:right="0" w:firstLine="0"/>
        <w:textAlignment w:val="center"/>
        <w:rPr>
          <w:rFonts w:hint="eastAsia" w:ascii="仿宋" w:hAnsi="仿宋" w:eastAsia="仿宋" w:cs="仿宋"/>
          <w:i w:val="0"/>
          <w:caps w:val="0"/>
          <w:color w:val="333333"/>
          <w:spacing w:val="0"/>
          <w:sz w:val="30"/>
          <w:szCs w:val="30"/>
        </w:rPr>
      </w:pPr>
      <w:r>
        <w:rPr>
          <w:rFonts w:hint="eastAsia" w:ascii="仿宋" w:hAnsi="仿宋" w:eastAsia="仿宋" w:cs="仿宋"/>
          <w:i w:val="0"/>
          <w:caps w:val="0"/>
          <w:color w:val="333333"/>
          <w:spacing w:val="0"/>
          <w:sz w:val="30"/>
          <w:szCs w:val="30"/>
          <w:shd w:val="clear" w:fill="FFFFFF"/>
        </w:rPr>
        <w:t>　　3.严格“三会一课”制度。严格“三会一课”等党内生活制度，按时召开支委会、党员大会、组织生活会，认真开展批评和自我批评，做好民主评议党员工作，定期上好党课，促进党内政治生活经常化、规范化。 </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105" w:beforeAutospacing="0" w:after="105" w:afterAutospacing="0" w:line="360" w:lineRule="auto"/>
        <w:ind w:left="0" w:right="0" w:firstLine="0"/>
        <w:textAlignment w:val="center"/>
        <w:rPr>
          <w:rFonts w:hint="eastAsia" w:ascii="仿宋" w:hAnsi="仿宋" w:eastAsia="仿宋" w:cs="仿宋"/>
          <w:i w:val="0"/>
          <w:caps w:val="0"/>
          <w:color w:val="333333"/>
          <w:spacing w:val="0"/>
          <w:sz w:val="30"/>
          <w:szCs w:val="30"/>
        </w:rPr>
      </w:pPr>
      <w:r>
        <w:rPr>
          <w:rFonts w:hint="eastAsia" w:ascii="仿宋" w:hAnsi="仿宋" w:eastAsia="仿宋" w:cs="仿宋"/>
          <w:i w:val="0"/>
          <w:caps w:val="0"/>
          <w:color w:val="333333"/>
          <w:spacing w:val="0"/>
          <w:sz w:val="30"/>
          <w:szCs w:val="30"/>
          <w:shd w:val="clear" w:fill="FFFFFF"/>
        </w:rPr>
        <w:t>　　4.引导党员先进性发挥。结合中心工作开展，组织全体党员每月开展一次主题党日活动，积极引导全体党员参与志愿服务、精准扶贫、义务献血、环境整治等，增强党员意识，争做先锋模范。 </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105" w:beforeAutospacing="0" w:after="105" w:afterAutospacing="0" w:line="360" w:lineRule="auto"/>
        <w:ind w:left="0" w:right="0" w:firstLine="0"/>
        <w:textAlignment w:val="center"/>
        <w:rPr>
          <w:rFonts w:hint="eastAsia" w:ascii="仿宋" w:hAnsi="仿宋" w:eastAsia="仿宋" w:cs="仿宋"/>
          <w:i w:val="0"/>
          <w:caps w:val="0"/>
          <w:color w:val="333333"/>
          <w:spacing w:val="0"/>
          <w:sz w:val="30"/>
          <w:szCs w:val="30"/>
        </w:rPr>
      </w:pPr>
      <w:r>
        <w:rPr>
          <w:rFonts w:hint="eastAsia" w:ascii="仿宋" w:hAnsi="仿宋" w:eastAsia="仿宋" w:cs="仿宋"/>
          <w:i w:val="0"/>
          <w:caps w:val="0"/>
          <w:color w:val="333333"/>
          <w:spacing w:val="0"/>
          <w:sz w:val="30"/>
          <w:szCs w:val="30"/>
          <w:shd w:val="clear" w:fill="FFFFFF"/>
        </w:rPr>
        <w:t>　　三、强化纪律建设，抓好反腐倡廉教育 </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105" w:beforeAutospacing="0" w:after="105" w:afterAutospacing="0" w:line="360" w:lineRule="auto"/>
        <w:ind w:left="0" w:right="0" w:firstLine="0"/>
        <w:textAlignment w:val="center"/>
        <w:rPr>
          <w:rFonts w:hint="eastAsia" w:ascii="仿宋" w:hAnsi="仿宋" w:eastAsia="仿宋" w:cs="仿宋"/>
          <w:i w:val="0"/>
          <w:caps w:val="0"/>
          <w:color w:val="333333"/>
          <w:spacing w:val="0"/>
          <w:sz w:val="30"/>
          <w:szCs w:val="30"/>
        </w:rPr>
      </w:pPr>
      <w:r>
        <w:rPr>
          <w:rFonts w:hint="eastAsia" w:ascii="仿宋" w:hAnsi="仿宋" w:eastAsia="仿宋" w:cs="仿宋"/>
          <w:i w:val="0"/>
          <w:caps w:val="0"/>
          <w:color w:val="333333"/>
          <w:spacing w:val="0"/>
          <w:sz w:val="30"/>
          <w:szCs w:val="30"/>
          <w:shd w:val="clear" w:fill="FFFFFF"/>
        </w:rPr>
        <w:t>　　1．加强反腐倡廉教育。加强党章党风党纪教育，推进廉政文化建设，开展主题教育、示范教育、警示教育和岗位廉政教育，让全体党员受警醒、明底线、知敬畏。 </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105" w:beforeAutospacing="0" w:after="105" w:afterAutospacing="0" w:line="360" w:lineRule="auto"/>
        <w:ind w:left="0" w:right="0" w:firstLine="0"/>
        <w:textAlignment w:val="center"/>
        <w:rPr>
          <w:rFonts w:hint="eastAsia" w:ascii="仿宋" w:hAnsi="仿宋" w:eastAsia="仿宋" w:cs="仿宋"/>
          <w:i w:val="0"/>
          <w:caps w:val="0"/>
          <w:color w:val="333333"/>
          <w:spacing w:val="0"/>
          <w:sz w:val="30"/>
          <w:szCs w:val="30"/>
        </w:rPr>
      </w:pPr>
      <w:r>
        <w:rPr>
          <w:rFonts w:hint="eastAsia" w:ascii="仿宋" w:hAnsi="仿宋" w:eastAsia="仿宋" w:cs="仿宋"/>
          <w:i w:val="0"/>
          <w:caps w:val="0"/>
          <w:color w:val="333333"/>
          <w:spacing w:val="0"/>
          <w:sz w:val="30"/>
          <w:szCs w:val="30"/>
          <w:shd w:val="clear" w:fill="FFFFFF"/>
        </w:rPr>
        <w:t>　　2．加强纪律规矩约束。强化对党员的日常监督，用好监督执纪“四种形态”，不断强化党员干部纪律意识、规矩意识，营造风清气正的良好环境。 </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105" w:beforeAutospacing="0" w:after="105" w:afterAutospacing="0" w:line="360" w:lineRule="auto"/>
        <w:ind w:left="0" w:right="0" w:firstLine="0"/>
        <w:textAlignment w:val="center"/>
        <w:rPr>
          <w:rFonts w:hint="eastAsia" w:ascii="仿宋" w:hAnsi="仿宋" w:eastAsia="仿宋" w:cs="仿宋"/>
          <w:sz w:val="30"/>
          <w:szCs w:val="30"/>
        </w:rPr>
      </w:pPr>
      <w:r>
        <w:rPr>
          <w:rFonts w:hint="eastAsia" w:ascii="仿宋" w:hAnsi="仿宋" w:eastAsia="仿宋" w:cs="仿宋"/>
          <w:i w:val="0"/>
          <w:caps w:val="0"/>
          <w:color w:val="333333"/>
          <w:spacing w:val="0"/>
          <w:sz w:val="30"/>
          <w:szCs w:val="30"/>
          <w:shd w:val="clear" w:fill="FFFFFF"/>
        </w:rPr>
        <w:t>　　3．加强机关作风建设。结合工作实际，组织党员经常深入基层、深入职工群众，服务职工群众、密切联系群众，改进工作作风，树立工会组织和工会干部良好形象。 </w:t>
      </w:r>
    </w:p>
    <w:p>
      <w:pPr>
        <w:pStyle w:val="2"/>
        <w:bidi w:val="0"/>
        <w:rPr>
          <w:rFonts w:hint="eastAsia" w:ascii="仿宋" w:hAnsi="仿宋" w:eastAsia="仿宋" w:cs="仿宋"/>
          <w:sz w:val="30"/>
          <w:szCs w:val="30"/>
        </w:rPr>
      </w:pPr>
      <w:bookmarkStart w:id="20" w:name="_Toc25618"/>
      <w:r>
        <w:rPr>
          <w:rFonts w:hint="eastAsia"/>
          <w:lang w:eastAsia="zh-CN"/>
        </w:rPr>
        <w:t>五</w:t>
      </w:r>
      <w:r>
        <w:rPr>
          <w:rFonts w:hint="eastAsia"/>
        </w:rPr>
        <w:t>、部门（单位）整体支出绩效实现情况</w:t>
      </w:r>
      <w:bookmarkEnd w:id="20"/>
    </w:p>
    <w:p>
      <w:pPr>
        <w:pageBreakBefore w:val="0"/>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kinsoku/>
        <w:wordWrap/>
        <w:overflowPunct/>
        <w:topLinePunct w:val="0"/>
        <w:autoSpaceDE/>
        <w:autoSpaceDN/>
        <w:bidi w:val="0"/>
        <w:adjustRightInd w:val="0"/>
        <w:snapToGrid w:val="0"/>
        <w:spacing w:line="360" w:lineRule="auto"/>
        <w:ind w:firstLine="600" w:firstLineChars="200"/>
        <w:rPr>
          <w:rFonts w:hint="eastAsia" w:ascii="仿宋" w:hAnsi="仿宋" w:eastAsia="仿宋" w:cs="仿宋"/>
          <w:sz w:val="30"/>
          <w:szCs w:val="30"/>
        </w:rPr>
      </w:pPr>
      <w:r>
        <w:rPr>
          <w:rFonts w:hint="eastAsia" w:ascii="仿宋" w:hAnsi="仿宋" w:eastAsia="仿宋" w:cs="仿宋"/>
          <w:sz w:val="30"/>
          <w:szCs w:val="30"/>
          <w:lang w:eastAsia="zh-CN"/>
        </w:rPr>
        <w:t>2019年</w:t>
      </w:r>
      <w:r>
        <w:rPr>
          <w:rFonts w:hint="eastAsia" w:ascii="仿宋" w:hAnsi="仿宋" w:eastAsia="仿宋" w:cs="仿宋"/>
          <w:sz w:val="30"/>
          <w:szCs w:val="30"/>
        </w:rPr>
        <w:t>本单位按照年初工作规划和重点性工作安排，通过加强预算收支的管理，不断建立健全内部管理制度，梳理内部管理流程，部门整体支出管理情况得到了提升。根据前面对</w:t>
      </w:r>
      <w:r>
        <w:rPr>
          <w:rFonts w:hint="eastAsia" w:ascii="仿宋" w:hAnsi="仿宋" w:eastAsia="仿宋" w:cs="仿宋"/>
          <w:sz w:val="30"/>
          <w:szCs w:val="30"/>
          <w:lang w:eastAsia="zh-CN"/>
        </w:rPr>
        <w:t>2019年</w:t>
      </w:r>
      <w:r>
        <w:rPr>
          <w:rFonts w:hint="eastAsia" w:ascii="仿宋" w:hAnsi="仿宋" w:eastAsia="仿宋" w:cs="仿宋"/>
          <w:sz w:val="30"/>
          <w:szCs w:val="30"/>
        </w:rPr>
        <w:t>部门整体支出状况的概述和分析，部门整体支出绩效情况如下：</w:t>
      </w:r>
    </w:p>
    <w:p>
      <w:pPr>
        <w:keepNext/>
        <w:keepLines/>
        <w:pageBreakBefore w:val="0"/>
        <w:widowControl w:val="0"/>
        <w:kinsoku/>
        <w:wordWrap/>
        <w:overflowPunct/>
        <w:topLinePunct w:val="0"/>
        <w:autoSpaceDE/>
        <w:autoSpaceDN/>
        <w:bidi w:val="0"/>
        <w:spacing w:before="260" w:after="260" w:line="360" w:lineRule="auto"/>
        <w:jc w:val="both"/>
        <w:outlineLvl w:val="1"/>
        <w:rPr>
          <w:rFonts w:hint="eastAsia" w:ascii="仿宋" w:hAnsi="仿宋" w:eastAsia="仿宋" w:cs="仿宋"/>
          <w:b/>
          <w:bCs/>
          <w:kern w:val="2"/>
          <w:sz w:val="30"/>
          <w:szCs w:val="30"/>
          <w:lang w:val="en-US" w:eastAsia="zh-CN" w:bidi="ar-SA"/>
        </w:rPr>
      </w:pPr>
      <w:bookmarkStart w:id="21" w:name="_Toc18990"/>
      <w:r>
        <w:rPr>
          <w:rFonts w:hint="eastAsia" w:ascii="仿宋" w:hAnsi="仿宋" w:eastAsia="仿宋" w:cs="仿宋"/>
          <w:b/>
          <w:bCs/>
          <w:sz w:val="30"/>
          <w:szCs w:val="30"/>
        </w:rPr>
        <w:t>（一）履职完成情况：</w:t>
      </w:r>
      <w:bookmarkEnd w:id="21"/>
    </w:p>
    <w:p>
      <w:pPr>
        <w:pageBreakBefore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kinsoku/>
        <w:wordWrap/>
        <w:overflowPunct/>
        <w:topLinePunct w:val="0"/>
        <w:autoSpaceDE/>
        <w:autoSpaceDN/>
        <w:bidi w:val="0"/>
        <w:adjustRightInd w:val="0"/>
        <w:snapToGrid w:val="0"/>
        <w:spacing w:line="360" w:lineRule="auto"/>
        <w:ind w:firstLine="600" w:firstLineChars="200"/>
        <w:rPr>
          <w:rFonts w:hint="eastAsia" w:ascii="仿宋" w:hAnsi="仿宋" w:eastAsia="仿宋" w:cs="仿宋"/>
          <w:sz w:val="30"/>
          <w:szCs w:val="30"/>
        </w:rPr>
      </w:pPr>
      <w:r>
        <w:rPr>
          <w:rFonts w:hint="eastAsia" w:ascii="仿宋" w:hAnsi="仿宋" w:eastAsia="仿宋" w:cs="仿宋"/>
          <w:sz w:val="30"/>
          <w:szCs w:val="30"/>
        </w:rPr>
        <w:t>本年预算配置控制较好，财政供养人员控制在预算编制以内，切实做好厉行节约工作，努力降低行政成本。严格公务接待费、差旅费、会议费和培训费审核审批程序，较好地控制本单位全年支出总额。</w:t>
      </w:r>
    </w:p>
    <w:p>
      <w:pPr>
        <w:pageBreakBefore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kinsoku/>
        <w:wordWrap/>
        <w:overflowPunct/>
        <w:topLinePunct w:val="0"/>
        <w:autoSpaceDE/>
        <w:autoSpaceDN/>
        <w:bidi w:val="0"/>
        <w:adjustRightInd w:val="0"/>
        <w:snapToGrid w:val="0"/>
        <w:spacing w:line="360" w:lineRule="auto"/>
        <w:ind w:firstLine="600" w:firstLineChars="200"/>
        <w:rPr>
          <w:rFonts w:hint="eastAsia" w:ascii="仿宋" w:hAnsi="仿宋" w:eastAsia="仿宋" w:cs="仿宋"/>
          <w:sz w:val="30"/>
          <w:szCs w:val="30"/>
          <w:lang w:eastAsia="zh-CN"/>
        </w:rPr>
      </w:pPr>
      <w:r>
        <w:rPr>
          <w:rFonts w:hint="eastAsia" w:ascii="仿宋" w:hAnsi="仿宋" w:eastAsia="仿宋" w:cs="仿宋"/>
          <w:sz w:val="30"/>
          <w:szCs w:val="30"/>
          <w:lang w:eastAsia="zh-CN"/>
        </w:rPr>
        <w:t>（</w:t>
      </w:r>
      <w:r>
        <w:rPr>
          <w:rFonts w:hint="eastAsia" w:ascii="仿宋" w:hAnsi="仿宋" w:eastAsia="仿宋" w:cs="仿宋"/>
          <w:sz w:val="30"/>
          <w:szCs w:val="30"/>
          <w:lang w:val="en-US" w:eastAsia="zh-CN"/>
        </w:rPr>
        <w:t>1</w:t>
      </w:r>
      <w:r>
        <w:rPr>
          <w:rFonts w:hint="eastAsia" w:ascii="仿宋" w:hAnsi="仿宋" w:eastAsia="仿宋" w:cs="仿宋"/>
          <w:sz w:val="30"/>
          <w:szCs w:val="30"/>
          <w:lang w:eastAsia="zh-CN"/>
        </w:rPr>
        <w:t>）</w:t>
      </w:r>
      <w:r>
        <w:rPr>
          <w:rFonts w:hint="eastAsia" w:ascii="仿宋" w:hAnsi="仿宋" w:eastAsia="仿宋" w:cs="仿宋"/>
          <w:sz w:val="30"/>
          <w:szCs w:val="30"/>
        </w:rPr>
        <w:t>：举办4期女职工素质教育精品课堂，力争组织300名女职工参训，组织2次女职工联谊活动200人左右参加</w:t>
      </w:r>
      <w:r>
        <w:rPr>
          <w:rFonts w:hint="eastAsia" w:ascii="仿宋" w:hAnsi="仿宋" w:eastAsia="仿宋" w:cs="仿宋"/>
          <w:sz w:val="30"/>
          <w:szCs w:val="30"/>
          <w:lang w:eastAsia="zh-CN"/>
        </w:rPr>
        <w:t>；</w:t>
      </w:r>
    </w:p>
    <w:p>
      <w:pPr>
        <w:pageBreakBefore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kinsoku/>
        <w:wordWrap/>
        <w:overflowPunct/>
        <w:topLinePunct w:val="0"/>
        <w:autoSpaceDE/>
        <w:autoSpaceDN/>
        <w:bidi w:val="0"/>
        <w:adjustRightInd w:val="0"/>
        <w:snapToGrid w:val="0"/>
        <w:spacing w:line="360" w:lineRule="auto"/>
        <w:ind w:firstLine="600" w:firstLineChars="200"/>
        <w:rPr>
          <w:rFonts w:hint="eastAsia" w:ascii="仿宋" w:hAnsi="仿宋" w:eastAsia="仿宋" w:cs="仿宋"/>
          <w:sz w:val="30"/>
          <w:szCs w:val="30"/>
          <w:lang w:eastAsia="zh-CN"/>
        </w:rPr>
      </w:pPr>
      <w:r>
        <w:rPr>
          <w:rFonts w:hint="eastAsia" w:ascii="仿宋" w:hAnsi="仿宋" w:eastAsia="仿宋" w:cs="仿宋"/>
          <w:sz w:val="30"/>
          <w:szCs w:val="30"/>
          <w:lang w:eastAsia="zh-CN"/>
        </w:rPr>
        <w:t>（</w:t>
      </w:r>
      <w:r>
        <w:rPr>
          <w:rFonts w:hint="eastAsia" w:ascii="仿宋" w:hAnsi="仿宋" w:eastAsia="仿宋" w:cs="仿宋"/>
          <w:sz w:val="30"/>
          <w:szCs w:val="30"/>
          <w:lang w:val="en-US" w:eastAsia="zh-CN"/>
        </w:rPr>
        <w:t>2</w:t>
      </w:r>
      <w:r>
        <w:rPr>
          <w:rFonts w:hint="eastAsia" w:ascii="仿宋" w:hAnsi="仿宋" w:eastAsia="仿宋" w:cs="仿宋"/>
          <w:sz w:val="30"/>
          <w:szCs w:val="30"/>
          <w:lang w:eastAsia="zh-CN"/>
        </w:rPr>
        <w:t>）</w:t>
      </w:r>
      <w:r>
        <w:rPr>
          <w:rFonts w:hint="eastAsia" w:ascii="仿宋" w:hAnsi="仿宋" w:eastAsia="仿宋" w:cs="仿宋"/>
          <w:sz w:val="30"/>
          <w:szCs w:val="30"/>
        </w:rPr>
        <w:t>：组织全区职工活动2次以上，组织基层工会开展2次劳动竞赛，新建“职工书屋”7家</w:t>
      </w:r>
      <w:r>
        <w:rPr>
          <w:rFonts w:hint="eastAsia" w:ascii="仿宋" w:hAnsi="仿宋" w:eastAsia="仿宋" w:cs="仿宋"/>
          <w:sz w:val="30"/>
          <w:szCs w:val="30"/>
          <w:lang w:eastAsia="zh-CN"/>
        </w:rPr>
        <w:t>；</w:t>
      </w:r>
    </w:p>
    <w:p>
      <w:pPr>
        <w:pageBreakBefore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kinsoku/>
        <w:wordWrap/>
        <w:overflowPunct/>
        <w:topLinePunct w:val="0"/>
        <w:autoSpaceDE/>
        <w:autoSpaceDN/>
        <w:bidi w:val="0"/>
        <w:adjustRightInd w:val="0"/>
        <w:snapToGrid w:val="0"/>
        <w:spacing w:line="360" w:lineRule="auto"/>
        <w:ind w:firstLine="600" w:firstLineChars="200"/>
        <w:rPr>
          <w:rFonts w:hint="eastAsia" w:ascii="仿宋" w:hAnsi="仿宋" w:eastAsia="仿宋" w:cs="仿宋"/>
          <w:sz w:val="30"/>
          <w:szCs w:val="30"/>
          <w:lang w:eastAsia="zh-CN"/>
        </w:rPr>
      </w:pPr>
      <w:r>
        <w:rPr>
          <w:rFonts w:hint="eastAsia" w:ascii="仿宋" w:hAnsi="仿宋" w:eastAsia="仿宋" w:cs="仿宋"/>
          <w:sz w:val="30"/>
          <w:szCs w:val="30"/>
          <w:lang w:eastAsia="zh-CN"/>
        </w:rPr>
        <w:t>（</w:t>
      </w:r>
      <w:r>
        <w:rPr>
          <w:rFonts w:hint="eastAsia" w:ascii="仿宋" w:hAnsi="仿宋" w:eastAsia="仿宋" w:cs="仿宋"/>
          <w:sz w:val="30"/>
          <w:szCs w:val="30"/>
          <w:lang w:val="en-US" w:eastAsia="zh-CN"/>
        </w:rPr>
        <w:t>3</w:t>
      </w:r>
      <w:r>
        <w:rPr>
          <w:rFonts w:hint="eastAsia" w:ascii="仿宋" w:hAnsi="仿宋" w:eastAsia="仿宋" w:cs="仿宋"/>
          <w:sz w:val="30"/>
          <w:szCs w:val="30"/>
          <w:lang w:eastAsia="zh-CN"/>
        </w:rPr>
        <w:t>）</w:t>
      </w:r>
      <w:r>
        <w:rPr>
          <w:rFonts w:hint="eastAsia" w:ascii="仿宋" w:hAnsi="仿宋" w:eastAsia="仿宋" w:cs="仿宋"/>
          <w:sz w:val="30"/>
          <w:szCs w:val="30"/>
        </w:rPr>
        <w:t>：签订工资集体协商企业数700家左右，树立行业典型1个、区域性典型1个，企业典型2个</w:t>
      </w:r>
      <w:r>
        <w:rPr>
          <w:rFonts w:hint="eastAsia" w:ascii="仿宋" w:hAnsi="仿宋" w:eastAsia="仿宋" w:cs="仿宋"/>
          <w:sz w:val="30"/>
          <w:szCs w:val="30"/>
          <w:lang w:eastAsia="zh-CN"/>
        </w:rPr>
        <w:t>；</w:t>
      </w:r>
    </w:p>
    <w:p>
      <w:pPr>
        <w:pageBreakBefore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kinsoku/>
        <w:wordWrap/>
        <w:overflowPunct/>
        <w:topLinePunct w:val="0"/>
        <w:autoSpaceDE/>
        <w:autoSpaceDN/>
        <w:bidi w:val="0"/>
        <w:adjustRightInd w:val="0"/>
        <w:snapToGrid w:val="0"/>
        <w:spacing w:line="360" w:lineRule="auto"/>
        <w:ind w:firstLine="600" w:firstLineChars="200"/>
        <w:rPr>
          <w:rFonts w:hint="eastAsia" w:ascii="仿宋" w:hAnsi="仿宋" w:eastAsia="仿宋" w:cs="仿宋"/>
          <w:sz w:val="30"/>
          <w:szCs w:val="30"/>
          <w:lang w:eastAsia="zh-CN"/>
        </w:rPr>
      </w:pPr>
      <w:r>
        <w:rPr>
          <w:rFonts w:hint="eastAsia" w:ascii="仿宋" w:hAnsi="仿宋" w:eastAsia="仿宋" w:cs="仿宋"/>
          <w:sz w:val="30"/>
          <w:szCs w:val="30"/>
          <w:lang w:eastAsia="zh-CN"/>
        </w:rPr>
        <w:t>（</w:t>
      </w:r>
      <w:r>
        <w:rPr>
          <w:rFonts w:hint="eastAsia" w:ascii="仿宋" w:hAnsi="仿宋" w:eastAsia="仿宋" w:cs="仿宋"/>
          <w:sz w:val="30"/>
          <w:szCs w:val="30"/>
          <w:lang w:val="en-US" w:eastAsia="zh-CN"/>
        </w:rPr>
        <w:t>4</w:t>
      </w:r>
      <w:r>
        <w:rPr>
          <w:rFonts w:hint="eastAsia" w:ascii="仿宋" w:hAnsi="仿宋" w:eastAsia="仿宋" w:cs="仿宋"/>
          <w:sz w:val="30"/>
          <w:szCs w:val="30"/>
          <w:lang w:eastAsia="zh-CN"/>
        </w:rPr>
        <w:t>）</w:t>
      </w:r>
      <w:r>
        <w:rPr>
          <w:rFonts w:hint="eastAsia" w:ascii="仿宋" w:hAnsi="仿宋" w:eastAsia="仿宋" w:cs="仿宋"/>
          <w:sz w:val="30"/>
          <w:szCs w:val="30"/>
        </w:rPr>
        <w:t>：职业技能培训10期培训800人左右</w:t>
      </w:r>
      <w:r>
        <w:rPr>
          <w:rFonts w:hint="eastAsia" w:ascii="仿宋" w:hAnsi="仿宋" w:eastAsia="仿宋" w:cs="仿宋"/>
          <w:sz w:val="30"/>
          <w:szCs w:val="30"/>
          <w:lang w:eastAsia="zh-CN"/>
        </w:rPr>
        <w:t>；</w:t>
      </w:r>
    </w:p>
    <w:p>
      <w:pPr>
        <w:pageBreakBefore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kinsoku/>
        <w:wordWrap/>
        <w:overflowPunct/>
        <w:topLinePunct w:val="0"/>
        <w:autoSpaceDE/>
        <w:autoSpaceDN/>
        <w:bidi w:val="0"/>
        <w:adjustRightInd w:val="0"/>
        <w:snapToGrid w:val="0"/>
        <w:spacing w:line="360" w:lineRule="auto"/>
        <w:ind w:firstLine="600" w:firstLineChars="200"/>
        <w:rPr>
          <w:rFonts w:hint="eastAsia" w:ascii="仿宋" w:hAnsi="仿宋" w:eastAsia="仿宋" w:cs="仿宋"/>
          <w:sz w:val="30"/>
          <w:szCs w:val="30"/>
          <w:lang w:eastAsia="zh-CN"/>
        </w:rPr>
      </w:pPr>
      <w:r>
        <w:rPr>
          <w:rFonts w:hint="eastAsia" w:ascii="仿宋" w:hAnsi="仿宋" w:eastAsia="仿宋" w:cs="仿宋"/>
          <w:sz w:val="30"/>
          <w:szCs w:val="30"/>
          <w:lang w:eastAsia="zh-CN"/>
        </w:rPr>
        <w:t>（</w:t>
      </w:r>
      <w:r>
        <w:rPr>
          <w:rFonts w:hint="eastAsia" w:ascii="仿宋" w:hAnsi="仿宋" w:eastAsia="仿宋" w:cs="仿宋"/>
          <w:sz w:val="30"/>
          <w:szCs w:val="30"/>
          <w:lang w:val="en-US" w:eastAsia="zh-CN"/>
        </w:rPr>
        <w:t>5</w:t>
      </w:r>
      <w:r>
        <w:rPr>
          <w:rFonts w:hint="eastAsia" w:ascii="仿宋" w:hAnsi="仿宋" w:eastAsia="仿宋" w:cs="仿宋"/>
          <w:sz w:val="30"/>
          <w:szCs w:val="30"/>
          <w:lang w:eastAsia="zh-CN"/>
        </w:rPr>
        <w:t>）</w:t>
      </w:r>
      <w:r>
        <w:rPr>
          <w:rFonts w:hint="eastAsia" w:ascii="仿宋" w:hAnsi="仿宋" w:eastAsia="仿宋" w:cs="仿宋"/>
          <w:sz w:val="30"/>
          <w:szCs w:val="30"/>
        </w:rPr>
        <w:t>：组织12000名在职职工纳入全市职工医疗（住院）互助计划，组织5000名女职工参加特殊疾病保障项目</w:t>
      </w:r>
      <w:r>
        <w:rPr>
          <w:rFonts w:hint="eastAsia" w:ascii="仿宋" w:hAnsi="仿宋" w:eastAsia="仿宋" w:cs="仿宋"/>
          <w:sz w:val="30"/>
          <w:szCs w:val="30"/>
          <w:lang w:eastAsia="zh-CN"/>
        </w:rPr>
        <w:t>；</w:t>
      </w:r>
    </w:p>
    <w:p>
      <w:pPr>
        <w:pageBreakBefore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kinsoku/>
        <w:wordWrap/>
        <w:overflowPunct/>
        <w:topLinePunct w:val="0"/>
        <w:autoSpaceDE/>
        <w:autoSpaceDN/>
        <w:bidi w:val="0"/>
        <w:adjustRightInd w:val="0"/>
        <w:snapToGrid w:val="0"/>
        <w:spacing w:line="360" w:lineRule="auto"/>
        <w:ind w:firstLine="600" w:firstLineChars="200"/>
        <w:rPr>
          <w:rFonts w:hint="eastAsia" w:ascii="仿宋" w:hAnsi="仿宋" w:eastAsia="仿宋" w:cs="仿宋"/>
          <w:sz w:val="30"/>
          <w:szCs w:val="30"/>
          <w:lang w:eastAsia="zh-CN"/>
        </w:rPr>
      </w:pPr>
      <w:r>
        <w:rPr>
          <w:rFonts w:hint="eastAsia" w:ascii="仿宋" w:hAnsi="仿宋" w:eastAsia="仿宋" w:cs="仿宋"/>
          <w:sz w:val="30"/>
          <w:szCs w:val="30"/>
          <w:lang w:eastAsia="zh-CN"/>
        </w:rPr>
        <w:t>（</w:t>
      </w:r>
      <w:r>
        <w:rPr>
          <w:rFonts w:hint="eastAsia" w:ascii="仿宋" w:hAnsi="仿宋" w:eastAsia="仿宋" w:cs="仿宋"/>
          <w:sz w:val="30"/>
          <w:szCs w:val="30"/>
          <w:lang w:val="en-US" w:eastAsia="zh-CN"/>
        </w:rPr>
        <w:t>6</w:t>
      </w:r>
      <w:r>
        <w:rPr>
          <w:rFonts w:hint="eastAsia" w:ascii="仿宋" w:hAnsi="仿宋" w:eastAsia="仿宋" w:cs="仿宋"/>
          <w:sz w:val="30"/>
          <w:szCs w:val="30"/>
          <w:lang w:eastAsia="zh-CN"/>
        </w:rPr>
        <w:t>）</w:t>
      </w:r>
      <w:r>
        <w:rPr>
          <w:rFonts w:hint="eastAsia" w:ascii="仿宋" w:hAnsi="仿宋" w:eastAsia="仿宋" w:cs="仿宋"/>
          <w:sz w:val="30"/>
          <w:szCs w:val="30"/>
        </w:rPr>
        <w:t>：实现园区企业建会率和职工入会率达到90%以上</w:t>
      </w:r>
      <w:r>
        <w:rPr>
          <w:rFonts w:hint="eastAsia" w:ascii="仿宋" w:hAnsi="仿宋" w:eastAsia="仿宋" w:cs="仿宋"/>
          <w:sz w:val="30"/>
          <w:szCs w:val="30"/>
          <w:lang w:eastAsia="zh-CN"/>
        </w:rPr>
        <w:t>；</w:t>
      </w:r>
    </w:p>
    <w:p>
      <w:pPr>
        <w:pageBreakBefore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kinsoku/>
        <w:wordWrap/>
        <w:overflowPunct/>
        <w:topLinePunct w:val="0"/>
        <w:autoSpaceDE/>
        <w:autoSpaceDN/>
        <w:bidi w:val="0"/>
        <w:adjustRightInd w:val="0"/>
        <w:snapToGrid w:val="0"/>
        <w:spacing w:line="360" w:lineRule="auto"/>
        <w:ind w:firstLine="600" w:firstLineChars="200"/>
        <w:rPr>
          <w:rFonts w:hint="eastAsia" w:ascii="仿宋" w:hAnsi="仿宋" w:eastAsia="仿宋" w:cs="仿宋"/>
          <w:sz w:val="30"/>
          <w:szCs w:val="30"/>
          <w:lang w:eastAsia="zh-CN"/>
        </w:rPr>
      </w:pPr>
      <w:r>
        <w:rPr>
          <w:rFonts w:hint="eastAsia" w:ascii="仿宋" w:hAnsi="仿宋" w:eastAsia="仿宋" w:cs="仿宋"/>
          <w:sz w:val="30"/>
          <w:szCs w:val="30"/>
          <w:lang w:eastAsia="zh-CN"/>
        </w:rPr>
        <w:t>（</w:t>
      </w:r>
      <w:r>
        <w:rPr>
          <w:rFonts w:hint="eastAsia" w:ascii="仿宋" w:hAnsi="仿宋" w:eastAsia="仿宋" w:cs="仿宋"/>
          <w:sz w:val="30"/>
          <w:szCs w:val="30"/>
          <w:lang w:val="en-US" w:eastAsia="zh-CN"/>
        </w:rPr>
        <w:t>7</w:t>
      </w:r>
      <w:r>
        <w:rPr>
          <w:rFonts w:hint="eastAsia" w:ascii="仿宋" w:hAnsi="仿宋" w:eastAsia="仿宋" w:cs="仿宋"/>
          <w:sz w:val="30"/>
          <w:szCs w:val="30"/>
          <w:lang w:eastAsia="zh-CN"/>
        </w:rPr>
        <w:t>）</w:t>
      </w:r>
      <w:r>
        <w:rPr>
          <w:rFonts w:hint="eastAsia" w:ascii="仿宋" w:hAnsi="仿宋" w:eastAsia="仿宋" w:cs="仿宋"/>
          <w:sz w:val="30"/>
          <w:szCs w:val="30"/>
        </w:rPr>
        <w:t>：筹集资金50万做实工会组织的生活医疗救助、职工大病救助、金秋爱心助学、女职工关爱等帮扶工作</w:t>
      </w:r>
      <w:r>
        <w:rPr>
          <w:rFonts w:hint="eastAsia" w:ascii="仿宋" w:hAnsi="仿宋" w:eastAsia="仿宋" w:cs="仿宋"/>
          <w:sz w:val="30"/>
          <w:szCs w:val="30"/>
          <w:lang w:eastAsia="zh-CN"/>
        </w:rPr>
        <w:t>。</w:t>
      </w:r>
    </w:p>
    <w:p>
      <w:pPr>
        <w:keepNext/>
        <w:keepLines/>
        <w:pageBreakBefore w:val="0"/>
        <w:widowControl w:val="0"/>
        <w:kinsoku/>
        <w:wordWrap/>
        <w:overflowPunct/>
        <w:topLinePunct w:val="0"/>
        <w:autoSpaceDE/>
        <w:autoSpaceDN/>
        <w:bidi w:val="0"/>
        <w:spacing w:before="260" w:after="260" w:line="360" w:lineRule="auto"/>
        <w:jc w:val="both"/>
        <w:outlineLvl w:val="1"/>
        <w:rPr>
          <w:rFonts w:hint="default" w:ascii="仿宋" w:hAnsi="仿宋" w:eastAsia="仿宋" w:cs="仿宋"/>
          <w:b/>
          <w:bCs/>
          <w:sz w:val="30"/>
          <w:szCs w:val="30"/>
        </w:rPr>
      </w:pPr>
      <w:bookmarkStart w:id="22" w:name="_Toc31206"/>
      <w:r>
        <w:rPr>
          <w:rFonts w:hint="eastAsia" w:ascii="仿宋" w:hAnsi="仿宋" w:eastAsia="仿宋" w:cs="仿宋"/>
          <w:b/>
          <w:bCs/>
          <w:sz w:val="30"/>
          <w:szCs w:val="30"/>
          <w:lang w:eastAsia="zh-CN"/>
        </w:rPr>
        <w:t>（</w:t>
      </w:r>
      <w:r>
        <w:rPr>
          <w:rFonts w:hint="eastAsia" w:ascii="仿宋" w:hAnsi="仿宋" w:eastAsia="仿宋" w:cs="仿宋"/>
          <w:b/>
          <w:bCs/>
          <w:sz w:val="30"/>
          <w:szCs w:val="30"/>
          <w:lang w:val="en-US" w:eastAsia="zh-CN"/>
        </w:rPr>
        <w:t>二</w:t>
      </w:r>
      <w:r>
        <w:rPr>
          <w:rFonts w:hint="eastAsia" w:ascii="仿宋" w:hAnsi="仿宋" w:eastAsia="仿宋" w:cs="仿宋"/>
          <w:b/>
          <w:bCs/>
          <w:sz w:val="30"/>
          <w:szCs w:val="30"/>
          <w:lang w:eastAsia="zh-CN"/>
        </w:rPr>
        <w:t>）</w:t>
      </w:r>
      <w:r>
        <w:rPr>
          <w:rFonts w:hint="default" w:ascii="仿宋" w:hAnsi="仿宋" w:eastAsia="仿宋" w:cs="仿宋"/>
          <w:b/>
          <w:bCs/>
          <w:sz w:val="30"/>
          <w:szCs w:val="30"/>
        </w:rPr>
        <w:t>履职效果情况：</w:t>
      </w:r>
      <w:bookmarkEnd w:id="22"/>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一、实施职工素质提升工程，发挥工会大学校作用</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1.深入实施“薪火”培训工程。结合省、市总工会“一户一产业工人”培养工程的要求和全区精准扶贫的部署，深入实施 “薪火”培训工程。全年举办了育婴师、物流师、茶艺师等各类技能培训班5期，培训困难职工、农民工522人,考取各类资格证书316人，考证率达到60%，推荐就业160人，其中1人创业成功。</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2.开展女职工素质大讲堂活动。深入贯彻落实市总工会“芙蓉讲堂”女职工素质提升主题活动的安排和部署，以“家风家教、茶艺插花、形象礼仪、职场情商”为主题，举办了女职工素质培训班44期，培训女职工近1000人；联合区妇联举办了女职工瑜伽培训班和礼仪培训班，培养和造就一支积极向上、富有活力的女职工队伍。望城区职业中专被评为市级优秀女职工培训学校。</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3.丰富职工业余文化生活。举办丰富多彩的职工文体活动。1月份，在砂之船奥特莱斯广场举办了“崇德向善·情系职工”志愿服务进社区活动，来自全区爱心企业、机关单位和相关社会团队，共计200多名志愿者参加。3月份，承办了全区第二届“食安杯”春季马路赛，来自区直单位、街镇和企业共60支队伍，1000多人参加了比赛。6月份，举办了2019年全区职工气排球比赛，来自区直单位、街镇和企业共57支队伍，600多人参加了比赛；9月份，举办了全区迎国庆“我和祖国共成长”机关干部职工演讲比赛，来自区直单位、街镇共40多人参加了比赛；10月份，联合区羽毛球协会在谷山体育公园举办了全区机关事业单位羽毛球比赛，来自区直单位、街镇48支队伍，700多人参加了比赛。</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4.深入宣传学习中国工会十七大精神。召开了望城区总工会二届二次全体委员全会，中国工会十七大代表、望城经开区工会联合会主席瞿宏斌同志传达学习了中国工会十七次全国代表大会会议精神。开展中国工会十七大精神宣传的活动，深入全区50多家重点企业发放宣传资料1000份，让广大职工学习、了解和分享大会精神。</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二、激发职工创造活力，发挥工人阶级主力军作用</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1.组织开展各项劳动竞赛。联合区城管局、区住房保障中心开展了全区垃圾分类百日劳动竞赛，有月亮岛街道、高塘岭街道、桃花井社区、湘陵社区等15家单位申报市级垃圾分类先进集体，有邹红辉、王甜佳、彭卉文、张勇等4位同志申报市级垃圾分类先进个人。联合区教育局举办了“星城杯”教学竞赛，全区近200名教师参加；联合区卫健局举办了全区医护人员护理技能竞赛；指导泰嘉新材料科技股份有限公司举办了第五届岗位技能竞赛；在全区数控、汽车喷漆、冷作钣金、空调维修等领域选派60名优秀职工参加了全市“十行状元、百优工匠”，并取得了优异的成绩；联合中阀科技（长沙）阀门有限公司举办了全区第六届焊工竞赛，来自全区各企业的64名职工参加。</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2.弘扬工人阶级伟大品格。“五一”期间，开展了全区“工人阶级宣传月”活动，与融媒体中心合作，开设了“奋斗新时代、劳动最光荣”系列报道专栏，着重宣传了环卫工人、公交司机等一线工人的爱岗敬业事迹。积极选树优秀企业参加各级 “五一劳动奖”的评选，澳优乳业(中国)有限公司获省级“五一劳动奖状”称号。</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3.加强劳模的服务管理。做好长沙市劳动模范的推荐评选工作，有杨伊、石为等2位同志获市级先进工作者称号；有董玲、刘柳奇等5位同志获市级劳动模范称号。10份，组织12名劳模到区检察院进行劳模事迹宣讲，11月份，组织全区各级劳模近60人，赴湖北武当山职工疗养院开展了劳模疗休养活动。市级劳模周世洪的和万月陶瓷工作室被评为市级示范性劳模和工匠人才创新工作室。</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三、维护职工合法权益，做实职工服务和帮扶工作</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1.健全职工维权长效机制。指导各基层工会建立健全职代会制度，落实职代会职权。全区厂务公开（职代会）建制单位 600多家，推行率达90.2%。2月份，根据区政府统一安排，联合区人社局等相关部门开展了“春送岗位”活动，搭设免费就业培训咨询服务台，对就业培训内容和方式开展调查问卷和报名登记，以提高“薪火”培训工程的针对性和实效性。活动现场接受咨询350人次，初步达成就业意向2895人，其中农村贫困劳动力357人。</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2.扎实推进工资集体协商。下发了“春季要约行动”的通知，将市总下达的任务目标进行层层分解，明确了协商重点，促进协商质量的提升。全区共签订工资集体协商企业数729家，圆满完成市总工会下达的目标任务数。其中湖南酷贝岛景区运营有限公司选树为全市企业工资集体协商典型。</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3.大力帮扶困难职工群体。开展了以春送岗位、夏送清凉、秋送助学、冬送温暖、医疗互助、大病救助、就业扶助、法律援助为主要内容的“四送四助”活动。全年共筹集31万元，救助困难职工300人次。7月份，组织开展“清凉一夏•关爱同行”慰问活动，筹集近26万元的慰问物质，走访慰问了区交警大队、区重点项目建设中心、雷锋学院建筑工地、银星保洁有限公司、长沙戴卡科技有限公司等高温一线作业的职工和农民工400多人。8月份，组织开展“芙蓉爱心助学”活动，救助贫困职工子弟就学11人，救助金额4万元。持续推进“双联”和城市困难职工“脱困解困·相约20”工作，调整了“双联”和困难职工帮扶工作领导小组成员和职责，进一步明确了成员单位的责任；整合社会各界慈善爱心资源，筹集资金12多万元，为全区23户建档立卡户提供物质和资金帮扶，区总工会谭舟同志获得全省“双联”和困难职工帮扶先进个人称号。</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4.倾心关注职工安全健康。组织全区在职职工13873人积极参加全市职工医疗（住院）互助计划，组织女职工6090人参加女性特殊疾病防癌保险，发放医疗补助金近244852元，女职工特殊疾病补助金10000元，为职工医疗提供相应保障。6月份，联合区安监局组织开展以安全生产为主要内容的“安康杯”竞赛活动，下发了《关于开展2019年度“安康杯”竞赛活动的通知》，组织在区内部分规模企业开展了集中安全生产的宣传活动。在中阀科技（长沙）阀门有限公司、长沙戴卡科技有限公司和泰嘉新材料股份有限公司开展了2019年“禁毒知识进企业近职工”活动，邀请区禁毒协会讲师团成员到企业上课，现场搭设宣传咨询台，发放禁毒宣传资料5000份。9月份，举办2019年度企业工会安全生产、劳动保护培训班，来自全区各基层工会的120余人参加了培训。开展了“尊法守法·携手筑梦”普法宣传活动，在月亮岛街道金瑞社区、杨丰社区设立咨询展台，为职工群众提供法律咨询志愿者服务，发放普法宣传资料1000多份。</w:t>
      </w:r>
    </w:p>
    <w:p>
      <w:pPr>
        <w:keepNext/>
        <w:keepLines/>
        <w:pageBreakBefore w:val="0"/>
        <w:widowControl w:val="0"/>
        <w:kinsoku/>
        <w:wordWrap/>
        <w:overflowPunct/>
        <w:topLinePunct w:val="0"/>
        <w:autoSpaceDE/>
        <w:autoSpaceDN/>
        <w:bidi w:val="0"/>
        <w:spacing w:before="260" w:after="260" w:line="360" w:lineRule="auto"/>
        <w:jc w:val="both"/>
        <w:outlineLvl w:val="1"/>
        <w:rPr>
          <w:rFonts w:hint="default" w:ascii="仿宋" w:hAnsi="仿宋" w:eastAsia="仿宋" w:cs="仿宋"/>
          <w:b/>
          <w:bCs/>
          <w:sz w:val="30"/>
          <w:szCs w:val="30"/>
          <w:lang w:eastAsia="zh-CN"/>
        </w:rPr>
      </w:pPr>
      <w:bookmarkStart w:id="23" w:name="_Toc31877"/>
      <w:r>
        <w:rPr>
          <w:rFonts w:hint="default" w:ascii="仿宋" w:hAnsi="仿宋" w:eastAsia="仿宋" w:cs="仿宋"/>
          <w:b/>
          <w:bCs/>
          <w:sz w:val="30"/>
          <w:szCs w:val="30"/>
          <w:lang w:eastAsia="zh-CN"/>
        </w:rPr>
        <w:t>（三）社会满意度情况</w:t>
      </w:r>
      <w:r>
        <w:rPr>
          <w:rFonts w:hint="eastAsia" w:ascii="仿宋" w:hAnsi="仿宋" w:eastAsia="仿宋" w:cs="仿宋"/>
          <w:b/>
          <w:bCs/>
          <w:sz w:val="30"/>
          <w:szCs w:val="30"/>
          <w:lang w:eastAsia="zh-CN"/>
        </w:rPr>
        <w:t>：</w:t>
      </w:r>
      <w:bookmarkEnd w:id="23"/>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05" w:beforeAutospacing="0" w:after="105" w:afterAutospacing="0" w:line="20" w:lineRule="atLeast"/>
        <w:ind w:left="0" w:right="0" w:firstLine="600" w:firstLineChars="200"/>
        <w:textAlignment w:val="center"/>
        <w:rPr>
          <w:rFonts w:hint="eastAsia" w:ascii="仿宋" w:hAnsi="仿宋" w:eastAsia="仿宋" w:cs="仿宋"/>
          <w:i w:val="0"/>
          <w:caps w:val="0"/>
          <w:color w:val="333333"/>
          <w:spacing w:val="0"/>
          <w:sz w:val="30"/>
          <w:szCs w:val="30"/>
          <w:shd w:val="clear" w:fill="FFFFFF"/>
        </w:rPr>
      </w:pPr>
      <w:r>
        <w:rPr>
          <w:rFonts w:hint="eastAsia" w:ascii="仿宋" w:hAnsi="仿宋" w:eastAsia="仿宋" w:cs="仿宋"/>
          <w:i w:val="0"/>
          <w:caps w:val="0"/>
          <w:color w:val="333333"/>
          <w:spacing w:val="0"/>
          <w:sz w:val="30"/>
          <w:szCs w:val="30"/>
          <w:shd w:val="clear" w:fill="FFFFFF"/>
        </w:rPr>
        <w:t>　区总工会组织的职工活动、劳动竞赛、职业技能培训、工资集体协商、医疗互助、女职工工作、困难帮扶工作等，得到了各基层工会和广大职工群众的高度评价，满意度95%以上。</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lang w:val="en-US" w:eastAsia="zh-CN"/>
        </w:rPr>
        <w:t>一</w:t>
      </w:r>
      <w:r>
        <w:rPr>
          <w:rFonts w:hint="eastAsia" w:ascii="仿宋" w:hAnsi="仿宋" w:eastAsia="仿宋" w:cs="仿宋"/>
          <w:sz w:val="30"/>
          <w:szCs w:val="30"/>
        </w:rPr>
        <w:t>、夯实工会基础工作，增强基层工会组织活力</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1.加强职工阵地建设。继续开展“职工书屋”示范点创建活动，力促职工养成爱读书、读好书的习惯。今年新建“职工书屋”7个，配送了一批书籍。高塘岭街道望府路社区、金桥国际百家汇投资有限公司获得市级“职工书屋”示范点称号。继续推动母婴关爱室建设，全年共新建喻家坡社区卫生服务中心、长郡斑马湖学校、望城区职业中专等10个母婴关爱室，进一步维护了女职工特殊权益。</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2.扩大工会组织覆盖面。按照“哪里有职工，哪里就要建工会组织”的要求，重点加强商务楼宇、商圈市场工会组织建设，湾田商贸物流园工会联合会被评为市级商圈楼宇工会示范点。全区共新建基层工会组织281家，涵盖企业法人数340家，新增会员14381人。</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3.激化“争先创优”的活力。以模范职工之家建设、“双亮”活动等载体为抓手，工会组织规范化建设，增强基层工会组织活力，让基层工会能够建起来，并且能够转起来、活起来。泰嘉新材料科技股份有限公司被评为市级EAP达标企业；湖南黑麋峰抽水蓄能有限公司工会、长沙戴卡科技有限公司工会、湖南联智桥隧技术有限公司工会等3家基层工会申报创建为市级模范职工之家；望城区回龙小学、卡米乐食品有限公司品牌运营部、合生元（长沙）营养食品有限公司生产部清洁班组等3家工会小组申报创建为市级模范职工之（小）家；澳优乳业（中国）有限公司被评为市级儿童友好型示范企业，澳优乳业（中国）有限公司工会主席刘跃辉获湖南省“职工最可信赖娘家人”、“优秀工会工作者”称号。</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lang w:val="en-US" w:eastAsia="zh-CN"/>
        </w:rPr>
        <w:t>二</w:t>
      </w:r>
      <w:r>
        <w:rPr>
          <w:rFonts w:hint="eastAsia" w:ascii="仿宋" w:hAnsi="仿宋" w:eastAsia="仿宋" w:cs="仿宋"/>
          <w:sz w:val="30"/>
          <w:szCs w:val="30"/>
        </w:rPr>
        <w:t>、加强班子自身建设，提高整体服务能力和水平</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1.巩固工会深化改革成果。按照《长沙市望城区总工会深化改革实施方案》的要求，各项改革措施已基本完成。持续深入推进改革向基层延伸，进一步巩固改革成果，不断创新改革措施，“薪火”培训工程、城市困难职工“脱困解困·相约20”申报全省工会系统改革创新优秀项目，与区职业中专联合开展的“创新培训新模式、服务区域育人才”培训项目获全省“一户一产业”培养工程优秀项目三等奖。</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2.开展“不忘初心、牢记使命”主题教育。按照区委主题教育办的要求，10月至12月期间，区总工会开展了“不忘初心、牢记使命”主题教育，区总工会党组高度重视，成立了主题教育领导小组，制定了详细的实施方案，深入学习贯彻习近平新时代中国特色社会主义思想，举办学习研讨、开展调查研究、深刻检视剖析、抓好问题整改，通过主题教育，区总工会全体党员干部进一步增强了“四个意识”、坚定了“四个自信”、做到了“两个维护”。</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3.服务区委中心工作。根据区委、区政府的部署和要求，切实推进脱贫攻坚工作，在联点村乔口镇大垅围村召开了精准扶贫结对帮扶工作布置会4次，全年对精准扶贫户进行走访慰问7次。结合年度“薪火”培训工程，开展了家政服务培训班，组织大垅围村有劳动力的群众进行免费技能培训，下拨专项资金20万元，帮助大垅围村完善基础设施建设。大力推进和包支付工会会费工作，下发了《关于规范全区工会会员依法缴纳会费的通知》，全区开通和包支付工会会费的基层工会共计172家，使用和包支付缴纳工会会费会员人数15248人，圆满完成上级工会和区政府下达的任务。</w:t>
      </w:r>
    </w:p>
    <w:p>
      <w:pPr>
        <w:pStyle w:val="2"/>
        <w:bidi w:val="0"/>
        <w:rPr>
          <w:rFonts w:hint="eastAsia" w:ascii="仿宋" w:hAnsi="仿宋" w:eastAsia="仿宋" w:cs="仿宋"/>
          <w:szCs w:val="30"/>
        </w:rPr>
      </w:pPr>
      <w:bookmarkStart w:id="24" w:name="_Toc22399"/>
      <w:r>
        <w:rPr>
          <w:rFonts w:hint="eastAsia"/>
          <w:lang w:eastAsia="zh-CN"/>
        </w:rPr>
        <w:t>六</w:t>
      </w:r>
      <w:r>
        <w:rPr>
          <w:rFonts w:hint="eastAsia"/>
        </w:rPr>
        <w:t>、部门（单位）整体支出绩效中存在问题及改进措施</w:t>
      </w:r>
      <w:bookmarkEnd w:id="24"/>
    </w:p>
    <w:p>
      <w:pPr>
        <w:spacing w:line="600" w:lineRule="exact"/>
        <w:ind w:firstLine="600" w:firstLineChars="200"/>
        <w:outlineLvl w:val="1"/>
        <w:rPr>
          <w:rFonts w:hint="eastAsia" w:ascii="仿宋" w:hAnsi="仿宋" w:eastAsia="仿宋" w:cs="仿宋"/>
          <w:b/>
          <w:bCs/>
          <w:sz w:val="30"/>
          <w:szCs w:val="30"/>
        </w:rPr>
      </w:pPr>
      <w:bookmarkStart w:id="25" w:name="_Toc5501"/>
      <w:r>
        <w:rPr>
          <w:rFonts w:hint="eastAsia" w:ascii="仿宋" w:hAnsi="仿宋" w:eastAsia="仿宋" w:cs="仿宋"/>
          <w:b/>
          <w:bCs/>
          <w:sz w:val="30"/>
          <w:szCs w:val="30"/>
        </w:rPr>
        <w:t>（一）主要问题及原因分析</w:t>
      </w:r>
      <w:bookmarkEnd w:id="25"/>
    </w:p>
    <w:p>
      <w:pPr>
        <w:spacing w:line="60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 xml:space="preserve">通过上述对本单位整体支出情况的分析，在整体支出的预算编制、执行和管理过程中，尽管今年工作取得长足进步，依然存在一些不足。 </w:t>
      </w:r>
    </w:p>
    <w:p>
      <w:pPr>
        <w:spacing w:line="600" w:lineRule="exact"/>
        <w:ind w:firstLine="600" w:firstLineChars="200"/>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本单位年度预算总支出安排499.77万元，年度决算总支出金额509.97万元。</w:t>
      </w:r>
      <w:r>
        <w:rPr>
          <w:rFonts w:hint="eastAsia" w:ascii="仿宋" w:hAnsi="仿宋" w:eastAsia="仿宋" w:cs="仿宋"/>
          <w:color w:val="000000"/>
          <w:sz w:val="30"/>
          <w:szCs w:val="30"/>
          <w:lang w:eastAsia="zh-CN"/>
        </w:rPr>
        <w:t>首先，预算刚性不够，预算的计划性、科学性不强，资金使用缺乏预见性，削弱了预算的约束控制力。其次，预算编制工作有待细化。部门预算的编制一般根据当年财政状况、上年收支、预算单位自身的特点和业务进行核定，没有细化到具体项目，预算支出达不到逐笔进行核定的要求。</w:t>
      </w:r>
    </w:p>
    <w:p>
      <w:pPr>
        <w:numPr>
          <w:ilvl w:val="0"/>
          <w:numId w:val="4"/>
        </w:numPr>
        <w:spacing w:line="600" w:lineRule="exact"/>
        <w:ind w:firstLine="600" w:firstLineChars="200"/>
        <w:outlineLvl w:val="1"/>
        <w:rPr>
          <w:rFonts w:hint="eastAsia" w:ascii="仿宋" w:hAnsi="仿宋" w:eastAsia="仿宋" w:cs="仿宋"/>
          <w:b/>
          <w:bCs/>
          <w:sz w:val="30"/>
          <w:szCs w:val="30"/>
        </w:rPr>
      </w:pPr>
      <w:bookmarkStart w:id="26" w:name="_Toc18547"/>
      <w:r>
        <w:rPr>
          <w:rFonts w:hint="eastAsia" w:ascii="仿宋" w:hAnsi="仿宋" w:eastAsia="仿宋" w:cs="仿宋"/>
          <w:b/>
          <w:bCs/>
          <w:sz w:val="30"/>
          <w:szCs w:val="30"/>
        </w:rPr>
        <w:t>改进的方向和具体措施</w:t>
      </w:r>
      <w:bookmarkEnd w:id="26"/>
    </w:p>
    <w:p>
      <w:pPr>
        <w:pageBreakBefore w:val="0"/>
        <w:widowControl w:val="0"/>
        <w:kinsoku/>
        <w:wordWrap/>
        <w:overflowPunct/>
        <w:topLinePunct w:val="0"/>
        <w:autoSpaceDE/>
        <w:autoSpaceDN/>
        <w:bidi w:val="0"/>
        <w:spacing w:line="360" w:lineRule="auto"/>
        <w:ind w:firstLine="600" w:firstLineChars="200"/>
        <w:textAlignment w:val="auto"/>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针对上述存在的问题及本单位整体支出管理工作的需要，拟实施的改进措施如下：</w:t>
      </w:r>
    </w:p>
    <w:p>
      <w:pPr>
        <w:pageBreakBefore w:val="0"/>
        <w:widowControl w:val="0"/>
        <w:kinsoku/>
        <w:wordWrap/>
        <w:overflowPunct/>
        <w:topLinePunct w:val="0"/>
        <w:autoSpaceDE/>
        <w:autoSpaceDN/>
        <w:bidi w:val="0"/>
        <w:spacing w:line="360" w:lineRule="auto"/>
        <w:ind w:firstLine="600" w:firstLineChars="200"/>
        <w:textAlignment w:val="auto"/>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1、遵循预算管理办法，对于年度无法预计的临时追加的相关工作所需费用，按照预算调整追加程序，逐级申报报批；对结余资金需调整用途的同样按照预算调整追加程序逐级申报报批，做到资金支付，预算先行，确保资金使用按照预算项目和使用用途执行，杜绝费用项目之间调剂使用现象的发生。</w:t>
      </w:r>
    </w:p>
    <w:p>
      <w:pPr>
        <w:pageBreakBefore w:val="0"/>
        <w:widowControl w:val="0"/>
        <w:kinsoku/>
        <w:wordWrap/>
        <w:overflowPunct/>
        <w:topLinePunct w:val="0"/>
        <w:autoSpaceDE/>
        <w:autoSpaceDN/>
        <w:bidi w:val="0"/>
        <w:spacing w:line="360" w:lineRule="auto"/>
        <w:ind w:firstLine="600" w:firstLineChars="200"/>
        <w:textAlignment w:val="auto"/>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2、细化预算编制，进一步加强本单位内部机构各处室的预算管理意识，严格按照预算编制的相关制度和要求，公用经费根据单位的年度工作重点和项目专项工作规划，本着“勤俭节约、保障运转”的原则进行预算的编制；编制范围尽可能的全面，不漏项；在预算编制时首先需满足固定性的、相对刚性的费用支出项目，尽量压缩变动性的、有控制空间的费用项目；进一步提高预算编制的科学性、合理性、严谨性和可控性。</w:t>
      </w:r>
    </w:p>
    <w:p>
      <w:pPr>
        <w:pageBreakBefore w:val="0"/>
        <w:widowControl w:val="0"/>
        <w:kinsoku/>
        <w:wordWrap/>
        <w:overflowPunct/>
        <w:topLinePunct w:val="0"/>
        <w:autoSpaceDE/>
        <w:autoSpaceDN/>
        <w:bidi w:val="0"/>
        <w:spacing w:line="360" w:lineRule="auto"/>
        <w:ind w:firstLine="600" w:firstLineChars="200"/>
        <w:textAlignment w:val="auto"/>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3、预算财务分析常态化。定期做好支出预算财务分析，及时对费用预算执行情况进行通报和预警，定期对预算执行情况进行自查，做好部门整体支出预算评价工作。</w:t>
      </w:r>
    </w:p>
    <w:p>
      <w:pPr>
        <w:pageBreakBefore w:val="0"/>
        <w:widowControl w:val="0"/>
        <w:kinsoku/>
        <w:wordWrap/>
        <w:overflowPunct/>
        <w:topLinePunct w:val="0"/>
        <w:autoSpaceDE/>
        <w:autoSpaceDN/>
        <w:bidi w:val="0"/>
        <w:spacing w:line="360" w:lineRule="auto"/>
        <w:ind w:firstLine="600" w:firstLineChars="200"/>
        <w:textAlignment w:val="auto"/>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4、加强财务核算工作，提高财务的精细化管理，确保财务核算的真实、及时、准确、完整。</w:t>
      </w:r>
    </w:p>
    <w:p>
      <w:pPr>
        <w:pageBreakBefore w:val="0"/>
        <w:widowControl w:val="0"/>
        <w:kinsoku/>
        <w:wordWrap/>
        <w:overflowPunct/>
        <w:topLinePunct w:val="0"/>
        <w:autoSpaceDE/>
        <w:autoSpaceDN/>
        <w:bidi w:val="0"/>
        <w:spacing w:line="360" w:lineRule="auto"/>
        <w:ind w:firstLine="600" w:firstLineChars="200"/>
        <w:textAlignment w:val="auto"/>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5、梳理队伍管理中的不足、找出行政执法、内部管理、党风廉政方面存在的风险点，完善规章制度，满足 “以制度管人、以制度管事”的刚性管理措施。</w:t>
      </w:r>
    </w:p>
    <w:p>
      <w:pPr>
        <w:numPr>
          <w:ilvl w:val="0"/>
          <w:numId w:val="0"/>
        </w:numPr>
        <w:spacing w:line="600" w:lineRule="exact"/>
        <w:rPr>
          <w:rFonts w:hint="eastAsia" w:ascii="仿宋" w:hAnsi="仿宋" w:eastAsia="仿宋" w:cs="仿宋"/>
          <w:sz w:val="30"/>
          <w:szCs w:val="30"/>
        </w:rPr>
      </w:pPr>
    </w:p>
    <w:p>
      <w:pPr>
        <w:pStyle w:val="2"/>
        <w:bidi w:val="0"/>
        <w:rPr>
          <w:rFonts w:hint="eastAsia"/>
        </w:rPr>
      </w:pPr>
      <w:bookmarkStart w:id="27" w:name="_Toc7090"/>
      <w:r>
        <w:rPr>
          <w:rFonts w:hint="eastAsia"/>
        </w:rPr>
        <w:t>七、其它需要说明的情况</w:t>
      </w:r>
      <w:bookmarkEnd w:id="27"/>
    </w:p>
    <w:p>
      <w:pPr>
        <w:pageBreakBefore w:val="0"/>
        <w:widowControl w:val="0"/>
        <w:kinsoku/>
        <w:wordWrap/>
        <w:overflowPunct/>
        <w:topLinePunct w:val="0"/>
        <w:autoSpaceDE/>
        <w:autoSpaceDN/>
        <w:bidi w:val="0"/>
        <w:spacing w:line="360" w:lineRule="auto"/>
        <w:ind w:firstLine="600" w:firstLineChars="200"/>
        <w:textAlignment w:val="auto"/>
        <w:rPr>
          <w:rFonts w:hint="eastAsia" w:ascii="仿宋" w:hAnsi="仿宋" w:eastAsia="仿宋" w:cs="仿宋"/>
          <w:color w:val="auto"/>
          <w:sz w:val="30"/>
          <w:szCs w:val="30"/>
          <w:highlight w:val="none"/>
          <w:lang w:val="en-US" w:eastAsia="zh-CN"/>
        </w:rPr>
      </w:pPr>
      <w:r>
        <w:rPr>
          <w:rFonts w:hint="eastAsia" w:ascii="仿宋" w:hAnsi="仿宋" w:eastAsia="仿宋" w:cs="仿宋"/>
          <w:color w:val="auto"/>
          <w:sz w:val="30"/>
          <w:szCs w:val="30"/>
          <w:highlight w:val="none"/>
          <w:lang w:val="en-US" w:eastAsia="zh-CN"/>
        </w:rPr>
        <w:t>无其他特殊情况说明。</w:t>
      </w:r>
    </w:p>
    <w:p>
      <w:pPr>
        <w:pageBreakBefore w:val="0"/>
        <w:widowControl w:val="0"/>
        <w:kinsoku/>
        <w:wordWrap/>
        <w:overflowPunct/>
        <w:topLinePunct w:val="0"/>
        <w:autoSpaceDE/>
        <w:autoSpaceDN/>
        <w:bidi w:val="0"/>
        <w:spacing w:line="360" w:lineRule="auto"/>
        <w:ind w:firstLine="600" w:firstLineChars="200"/>
        <w:jc w:val="right"/>
        <w:textAlignment w:val="auto"/>
        <w:rPr>
          <w:rFonts w:hint="eastAsia" w:ascii="仿宋" w:hAnsi="仿宋" w:eastAsia="仿宋" w:cs="仿宋"/>
          <w:color w:val="auto"/>
          <w:sz w:val="30"/>
          <w:szCs w:val="30"/>
          <w:highlight w:val="none"/>
          <w:lang w:val="en-US" w:eastAsia="zh-CN"/>
        </w:rPr>
      </w:pPr>
    </w:p>
    <w:p>
      <w:pPr>
        <w:pageBreakBefore w:val="0"/>
        <w:widowControl w:val="0"/>
        <w:kinsoku/>
        <w:wordWrap/>
        <w:overflowPunct/>
        <w:topLinePunct w:val="0"/>
        <w:autoSpaceDE/>
        <w:autoSpaceDN/>
        <w:bidi w:val="0"/>
        <w:spacing w:line="360" w:lineRule="auto"/>
        <w:ind w:firstLine="600" w:firstLineChars="200"/>
        <w:jc w:val="right"/>
        <w:textAlignment w:val="auto"/>
        <w:rPr>
          <w:rFonts w:hint="eastAsia" w:ascii="仿宋" w:hAnsi="仿宋" w:eastAsia="仿宋" w:cs="仿宋"/>
          <w:color w:val="auto"/>
          <w:sz w:val="30"/>
          <w:szCs w:val="30"/>
          <w:highlight w:val="none"/>
          <w:lang w:val="en-US" w:eastAsia="zh-CN"/>
        </w:rPr>
      </w:pPr>
    </w:p>
    <w:p>
      <w:pPr>
        <w:pageBreakBefore w:val="0"/>
        <w:widowControl w:val="0"/>
        <w:kinsoku/>
        <w:wordWrap/>
        <w:overflowPunct/>
        <w:topLinePunct w:val="0"/>
        <w:autoSpaceDE/>
        <w:autoSpaceDN/>
        <w:bidi w:val="0"/>
        <w:spacing w:line="360" w:lineRule="auto"/>
        <w:ind w:firstLine="600" w:firstLineChars="200"/>
        <w:jc w:val="right"/>
        <w:textAlignment w:val="auto"/>
        <w:rPr>
          <w:rFonts w:hint="eastAsia" w:ascii="仿宋" w:hAnsi="仿宋" w:eastAsia="仿宋" w:cs="仿宋"/>
          <w:color w:val="auto"/>
          <w:sz w:val="30"/>
          <w:szCs w:val="30"/>
          <w:highlight w:val="none"/>
          <w:lang w:val="en-US" w:eastAsia="zh-CN"/>
        </w:rPr>
      </w:pPr>
    </w:p>
    <w:p>
      <w:pPr>
        <w:pageBreakBefore w:val="0"/>
        <w:widowControl w:val="0"/>
        <w:kinsoku/>
        <w:wordWrap/>
        <w:overflowPunct/>
        <w:topLinePunct w:val="0"/>
        <w:autoSpaceDE/>
        <w:autoSpaceDN/>
        <w:bidi w:val="0"/>
        <w:spacing w:line="360" w:lineRule="auto"/>
        <w:ind w:firstLine="600" w:firstLineChars="200"/>
        <w:jc w:val="right"/>
        <w:textAlignment w:val="auto"/>
        <w:rPr>
          <w:rFonts w:hint="eastAsia" w:ascii="仿宋" w:hAnsi="仿宋" w:eastAsia="仿宋" w:cs="仿宋"/>
          <w:b/>
          <w:bCs/>
          <w:color w:val="auto"/>
          <w:sz w:val="30"/>
          <w:szCs w:val="30"/>
          <w:highlight w:val="none"/>
          <w:lang w:val="en-US" w:eastAsia="zh-CN"/>
        </w:rPr>
      </w:pPr>
      <w:r>
        <w:rPr>
          <w:rFonts w:hint="eastAsia" w:ascii="仿宋" w:hAnsi="仿宋" w:eastAsia="仿宋" w:cs="仿宋"/>
          <w:b/>
          <w:bCs/>
          <w:color w:val="auto"/>
          <w:sz w:val="30"/>
          <w:szCs w:val="30"/>
          <w:highlight w:val="none"/>
          <w:lang w:val="en-US" w:eastAsia="zh-CN"/>
        </w:rPr>
        <w:t>长沙市望城区总工会</w:t>
      </w:r>
    </w:p>
    <w:p>
      <w:pPr>
        <w:pageBreakBefore w:val="0"/>
        <w:widowControl w:val="0"/>
        <w:kinsoku/>
        <w:wordWrap/>
        <w:overflowPunct/>
        <w:topLinePunct w:val="0"/>
        <w:autoSpaceDE/>
        <w:autoSpaceDN/>
        <w:bidi w:val="0"/>
        <w:spacing w:line="360" w:lineRule="auto"/>
        <w:ind w:firstLine="600" w:firstLineChars="200"/>
        <w:jc w:val="right"/>
        <w:textAlignment w:val="auto"/>
        <w:rPr>
          <w:rFonts w:hint="default" w:ascii="仿宋" w:hAnsi="仿宋" w:eastAsia="仿宋" w:cs="仿宋"/>
          <w:b/>
          <w:bCs/>
          <w:color w:val="auto"/>
          <w:sz w:val="30"/>
          <w:szCs w:val="30"/>
          <w:highlight w:val="none"/>
          <w:lang w:val="en-US" w:eastAsia="zh-CN"/>
        </w:rPr>
      </w:pPr>
      <w:r>
        <w:rPr>
          <w:rFonts w:hint="eastAsia" w:ascii="仿宋" w:hAnsi="仿宋" w:eastAsia="仿宋" w:cs="仿宋"/>
          <w:b/>
          <w:bCs/>
          <w:color w:val="auto"/>
          <w:sz w:val="30"/>
          <w:szCs w:val="30"/>
          <w:highlight w:val="none"/>
          <w:lang w:val="en-US" w:eastAsia="zh-CN"/>
        </w:rPr>
        <w:t>2020年4月</w:t>
      </w:r>
    </w:p>
    <w:p>
      <w:pPr>
        <w:pageBreakBefore w:val="0"/>
        <w:widowControl w:val="0"/>
        <w:kinsoku/>
        <w:wordWrap/>
        <w:overflowPunct/>
        <w:topLinePunct w:val="0"/>
        <w:autoSpaceDE/>
        <w:autoSpaceDN/>
        <w:bidi w:val="0"/>
        <w:spacing w:line="360" w:lineRule="auto"/>
        <w:ind w:firstLine="600" w:firstLineChars="200"/>
        <w:jc w:val="right"/>
        <w:textAlignment w:val="auto"/>
        <w:rPr>
          <w:rFonts w:hint="eastAsia" w:ascii="仿宋" w:hAnsi="仿宋" w:eastAsia="仿宋" w:cs="仿宋"/>
          <w:color w:val="auto"/>
          <w:sz w:val="30"/>
          <w:szCs w:val="30"/>
          <w:highlight w:val="none"/>
          <w:lang w:val="en-US" w:eastAsia="zh-CN"/>
        </w:rPr>
      </w:pPr>
    </w:p>
    <w:p>
      <w:pPr>
        <w:pageBreakBefore w:val="0"/>
        <w:widowControl w:val="0"/>
        <w:kinsoku/>
        <w:wordWrap/>
        <w:overflowPunct/>
        <w:topLinePunct w:val="0"/>
        <w:autoSpaceDE/>
        <w:autoSpaceDN/>
        <w:bidi w:val="0"/>
        <w:spacing w:line="360" w:lineRule="auto"/>
        <w:ind w:firstLine="600" w:firstLineChars="200"/>
        <w:textAlignment w:val="auto"/>
        <w:rPr>
          <w:rFonts w:hint="eastAsia" w:ascii="仿宋" w:hAnsi="仿宋" w:eastAsia="仿宋" w:cs="仿宋"/>
          <w:color w:val="auto"/>
          <w:sz w:val="30"/>
          <w:szCs w:val="30"/>
          <w:highlight w:val="none"/>
          <w:lang w:val="en-US" w:eastAsia="zh-CN"/>
        </w:rPr>
      </w:pPr>
    </w:p>
    <w:p>
      <w:pPr>
        <w:pageBreakBefore w:val="0"/>
        <w:widowControl w:val="0"/>
        <w:kinsoku/>
        <w:wordWrap/>
        <w:overflowPunct/>
        <w:topLinePunct w:val="0"/>
        <w:autoSpaceDE/>
        <w:autoSpaceDN/>
        <w:bidi w:val="0"/>
        <w:spacing w:line="360" w:lineRule="auto"/>
        <w:ind w:firstLine="600" w:firstLineChars="200"/>
        <w:textAlignment w:val="auto"/>
        <w:rPr>
          <w:rFonts w:hint="eastAsia" w:ascii="仿宋" w:hAnsi="仿宋" w:eastAsia="仿宋" w:cs="仿宋"/>
          <w:color w:val="auto"/>
          <w:sz w:val="30"/>
          <w:szCs w:val="30"/>
          <w:highlight w:val="none"/>
          <w:lang w:val="en-US" w:eastAsia="zh-CN"/>
        </w:rPr>
      </w:pPr>
    </w:p>
    <w:p>
      <w:pPr>
        <w:ind w:firstLine="640" w:firstLineChars="200"/>
        <w:jc w:val="left"/>
        <w:rPr>
          <w:rFonts w:cs="黑体" w:asciiTheme="minorEastAsia" w:hAnsiTheme="minorEastAsia"/>
          <w:color w:val="000000"/>
          <w:kern w:val="0"/>
          <w:sz w:val="32"/>
          <w:szCs w:val="32"/>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方正小标宋简体">
    <w:altName w:val="Times New Roman"/>
    <w:panose1 w:val="00000000000000000000"/>
    <w:charset w:val="00"/>
    <w:family w:val="auto"/>
    <w:pitch w:val="default"/>
    <w:sig w:usb0="00000000" w:usb1="00000000" w:usb2="00000000"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B9D5FAE"/>
    <w:multiLevelType w:val="singleLevel"/>
    <w:tmpl w:val="BB9D5FAE"/>
    <w:lvl w:ilvl="0" w:tentative="0">
      <w:start w:val="1"/>
      <w:numFmt w:val="decimal"/>
      <w:suff w:val="nothing"/>
      <w:lvlText w:val="%1、"/>
      <w:lvlJc w:val="left"/>
    </w:lvl>
  </w:abstractNum>
  <w:abstractNum w:abstractNumId="1">
    <w:nsid w:val="DEBB0B76"/>
    <w:multiLevelType w:val="singleLevel"/>
    <w:tmpl w:val="DEBB0B76"/>
    <w:lvl w:ilvl="0" w:tentative="0">
      <w:start w:val="1"/>
      <w:numFmt w:val="chineseCounting"/>
      <w:suff w:val="nothing"/>
      <w:lvlText w:val="%1、"/>
      <w:lvlJc w:val="left"/>
      <w:rPr>
        <w:rFonts w:hint="eastAsia"/>
      </w:rPr>
    </w:lvl>
  </w:abstractNum>
  <w:abstractNum w:abstractNumId="2">
    <w:nsid w:val="FECB03A5"/>
    <w:multiLevelType w:val="singleLevel"/>
    <w:tmpl w:val="FECB03A5"/>
    <w:lvl w:ilvl="0" w:tentative="0">
      <w:start w:val="2"/>
      <w:numFmt w:val="chineseCounting"/>
      <w:suff w:val="nothing"/>
      <w:lvlText w:val="（%1）"/>
      <w:lvlJc w:val="left"/>
      <w:rPr>
        <w:rFonts w:hint="eastAsia"/>
      </w:rPr>
    </w:lvl>
  </w:abstractNum>
  <w:abstractNum w:abstractNumId="3">
    <w:nsid w:val="2AE8D9E9"/>
    <w:multiLevelType w:val="singleLevel"/>
    <w:tmpl w:val="2AE8D9E9"/>
    <w:lvl w:ilvl="0" w:tentative="0">
      <w:start w:val="2"/>
      <w:numFmt w:val="decimal"/>
      <w:suff w:val="nothing"/>
      <w:lvlText w:val="%1、"/>
      <w:lvlJc w:val="left"/>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M3YTlhMTkzNTU0OWNmMmJmNDEyMGYxMjBmZjY4ODUifQ=="/>
  </w:docVars>
  <w:rsids>
    <w:rsidRoot w:val="004506F9"/>
    <w:rsid w:val="0002229B"/>
    <w:rsid w:val="000273BD"/>
    <w:rsid w:val="000415B7"/>
    <w:rsid w:val="000658A3"/>
    <w:rsid w:val="00074155"/>
    <w:rsid w:val="000A3F69"/>
    <w:rsid w:val="00152C6D"/>
    <w:rsid w:val="00162D39"/>
    <w:rsid w:val="001A67DB"/>
    <w:rsid w:val="001D51E5"/>
    <w:rsid w:val="001F0C3B"/>
    <w:rsid w:val="00214427"/>
    <w:rsid w:val="00265724"/>
    <w:rsid w:val="0027426B"/>
    <w:rsid w:val="00333B86"/>
    <w:rsid w:val="003479BD"/>
    <w:rsid w:val="003768D5"/>
    <w:rsid w:val="004506F9"/>
    <w:rsid w:val="004717A2"/>
    <w:rsid w:val="00491741"/>
    <w:rsid w:val="00500E5F"/>
    <w:rsid w:val="005122EF"/>
    <w:rsid w:val="00517C33"/>
    <w:rsid w:val="00523644"/>
    <w:rsid w:val="0054069E"/>
    <w:rsid w:val="005767CC"/>
    <w:rsid w:val="00590D9F"/>
    <w:rsid w:val="00595D26"/>
    <w:rsid w:val="005A74E6"/>
    <w:rsid w:val="005D4D55"/>
    <w:rsid w:val="005E2CFB"/>
    <w:rsid w:val="0062378F"/>
    <w:rsid w:val="00651EEC"/>
    <w:rsid w:val="006A351B"/>
    <w:rsid w:val="006B0422"/>
    <w:rsid w:val="006C1B53"/>
    <w:rsid w:val="006D7730"/>
    <w:rsid w:val="006E5284"/>
    <w:rsid w:val="006F3EB5"/>
    <w:rsid w:val="00702E34"/>
    <w:rsid w:val="00704395"/>
    <w:rsid w:val="00720FF1"/>
    <w:rsid w:val="00812ED5"/>
    <w:rsid w:val="008277D9"/>
    <w:rsid w:val="008A3E8D"/>
    <w:rsid w:val="009237C4"/>
    <w:rsid w:val="00950252"/>
    <w:rsid w:val="00967F5D"/>
    <w:rsid w:val="009A0F95"/>
    <w:rsid w:val="009B3ADF"/>
    <w:rsid w:val="009C3B52"/>
    <w:rsid w:val="00A42218"/>
    <w:rsid w:val="00A70249"/>
    <w:rsid w:val="00B33BEA"/>
    <w:rsid w:val="00B57C9F"/>
    <w:rsid w:val="00B845B3"/>
    <w:rsid w:val="00B85D8B"/>
    <w:rsid w:val="00BE3674"/>
    <w:rsid w:val="00C3049A"/>
    <w:rsid w:val="00C31B1E"/>
    <w:rsid w:val="00C77645"/>
    <w:rsid w:val="00CE04C3"/>
    <w:rsid w:val="00CE76A0"/>
    <w:rsid w:val="00D148C6"/>
    <w:rsid w:val="00DD06FF"/>
    <w:rsid w:val="00DD5FE9"/>
    <w:rsid w:val="00E00C7A"/>
    <w:rsid w:val="00E55B68"/>
    <w:rsid w:val="00F74360"/>
    <w:rsid w:val="00FB462F"/>
    <w:rsid w:val="00FE16FA"/>
    <w:rsid w:val="00FE328A"/>
    <w:rsid w:val="02A209C2"/>
    <w:rsid w:val="03273AE1"/>
    <w:rsid w:val="047C10A5"/>
    <w:rsid w:val="048B2FE0"/>
    <w:rsid w:val="05A63C21"/>
    <w:rsid w:val="0A284949"/>
    <w:rsid w:val="10DA2F2F"/>
    <w:rsid w:val="137B23AA"/>
    <w:rsid w:val="149F2B9B"/>
    <w:rsid w:val="15E60EF4"/>
    <w:rsid w:val="179D5ABF"/>
    <w:rsid w:val="19C9066C"/>
    <w:rsid w:val="1A43455F"/>
    <w:rsid w:val="1A6D672E"/>
    <w:rsid w:val="1BF73D84"/>
    <w:rsid w:val="1C4041A8"/>
    <w:rsid w:val="1DA1541E"/>
    <w:rsid w:val="21A74EC7"/>
    <w:rsid w:val="228F3F16"/>
    <w:rsid w:val="25926167"/>
    <w:rsid w:val="25ED2AA9"/>
    <w:rsid w:val="27C8331A"/>
    <w:rsid w:val="2839036E"/>
    <w:rsid w:val="2ACF31FB"/>
    <w:rsid w:val="2B5B31DD"/>
    <w:rsid w:val="2CE142C7"/>
    <w:rsid w:val="2D082BEC"/>
    <w:rsid w:val="30894A17"/>
    <w:rsid w:val="347D552A"/>
    <w:rsid w:val="356E61B4"/>
    <w:rsid w:val="381D3781"/>
    <w:rsid w:val="38624D1D"/>
    <w:rsid w:val="390359E7"/>
    <w:rsid w:val="3B1A6227"/>
    <w:rsid w:val="3B8147C7"/>
    <w:rsid w:val="3DF37A13"/>
    <w:rsid w:val="3FF14433"/>
    <w:rsid w:val="4B8B19AB"/>
    <w:rsid w:val="4B8F093E"/>
    <w:rsid w:val="4F5132BC"/>
    <w:rsid w:val="514E1012"/>
    <w:rsid w:val="51702F7E"/>
    <w:rsid w:val="52EB7AB1"/>
    <w:rsid w:val="53B148EF"/>
    <w:rsid w:val="5B6B3F47"/>
    <w:rsid w:val="60EB71F4"/>
    <w:rsid w:val="618B1F46"/>
    <w:rsid w:val="619C3571"/>
    <w:rsid w:val="63850AEA"/>
    <w:rsid w:val="63D37EDE"/>
    <w:rsid w:val="64171714"/>
    <w:rsid w:val="66EE7106"/>
    <w:rsid w:val="672D2967"/>
    <w:rsid w:val="68E91347"/>
    <w:rsid w:val="69196690"/>
    <w:rsid w:val="6A3023F1"/>
    <w:rsid w:val="6C51521E"/>
    <w:rsid w:val="6C577864"/>
    <w:rsid w:val="71EE7AD4"/>
    <w:rsid w:val="72B01A11"/>
    <w:rsid w:val="73721D3C"/>
    <w:rsid w:val="73C06763"/>
    <w:rsid w:val="7424300E"/>
    <w:rsid w:val="766A6050"/>
    <w:rsid w:val="76B94062"/>
    <w:rsid w:val="7799014B"/>
    <w:rsid w:val="7A646B45"/>
    <w:rsid w:val="7AA371C5"/>
    <w:rsid w:val="7C4B7E02"/>
    <w:rsid w:val="7C8172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0"/>
    <w:pPr>
      <w:keepNext/>
      <w:keepLines/>
      <w:spacing w:beforeLines="0" w:beforeAutospacing="0" w:afterLines="0" w:afterAutospacing="0" w:line="360" w:lineRule="auto"/>
      <w:ind w:firstLine="880" w:firstLineChars="200"/>
      <w:outlineLvl w:val="0"/>
    </w:pPr>
    <w:rPr>
      <w:rFonts w:ascii="Times New Roman" w:hAnsi="Times New Roman" w:eastAsia="黑体"/>
      <w:kern w:val="44"/>
      <w:sz w:val="28"/>
    </w:rPr>
  </w:style>
  <w:style w:type="paragraph" w:styleId="3">
    <w:name w:val="heading 2"/>
    <w:basedOn w:val="1"/>
    <w:next w:val="1"/>
    <w:unhideWhenUsed/>
    <w:qFormat/>
    <w:uiPriority w:val="0"/>
    <w:pPr>
      <w:keepNext/>
      <w:keepLines/>
      <w:spacing w:beforeLines="0" w:beforeAutospacing="0" w:afterLines="0" w:afterAutospacing="0" w:line="360" w:lineRule="auto"/>
      <w:ind w:firstLine="880" w:firstLineChars="200"/>
      <w:outlineLvl w:val="1"/>
    </w:pPr>
    <w:rPr>
      <w:rFonts w:ascii="Arial" w:hAnsi="Arial"/>
      <w:sz w:val="24"/>
    </w:rPr>
  </w:style>
  <w:style w:type="paragraph" w:styleId="4">
    <w:name w:val="heading 3"/>
    <w:basedOn w:val="1"/>
    <w:next w:val="1"/>
    <w:semiHidden/>
    <w:unhideWhenUsed/>
    <w:qFormat/>
    <w:uiPriority w:val="0"/>
    <w:pPr>
      <w:keepNext/>
      <w:keepLines/>
      <w:spacing w:beforeLines="0" w:beforeAutospacing="0" w:afterLines="0" w:afterAutospacing="0" w:line="360" w:lineRule="auto"/>
      <w:ind w:firstLine="880" w:firstLineChars="200"/>
      <w:outlineLvl w:val="2"/>
    </w:pPr>
    <w:rPr>
      <w:rFonts w:ascii="Times New Roman" w:hAnsi="Times New Roman"/>
      <w:sz w:val="24"/>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5">
    <w:name w:val="Balloon Text"/>
    <w:basedOn w:val="1"/>
    <w:link w:val="17"/>
    <w:semiHidden/>
    <w:unhideWhenUsed/>
    <w:qFormat/>
    <w:uiPriority w:val="99"/>
    <w:rPr>
      <w:sz w:val="18"/>
      <w:szCs w:val="18"/>
    </w:rPr>
  </w:style>
  <w:style w:type="paragraph" w:styleId="6">
    <w:name w:val="footer"/>
    <w:basedOn w:val="1"/>
    <w:link w:val="14"/>
    <w:unhideWhenUsed/>
    <w:qFormat/>
    <w:uiPriority w:val="99"/>
    <w:pPr>
      <w:tabs>
        <w:tab w:val="center" w:pos="4153"/>
        <w:tab w:val="right" w:pos="8306"/>
      </w:tabs>
      <w:snapToGrid w:val="0"/>
      <w:jc w:val="left"/>
    </w:pPr>
    <w:rPr>
      <w:sz w:val="18"/>
      <w:szCs w:val="18"/>
    </w:rPr>
  </w:style>
  <w:style w:type="paragraph" w:styleId="7">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0"/>
    <w:pPr>
      <w:jc w:val="left"/>
      <w:textAlignment w:val="center"/>
    </w:pPr>
    <w:rPr>
      <w:rFonts w:hint="eastAsia" w:ascii="微软雅黑" w:hAnsi="微软雅黑" w:eastAsia="微软雅黑"/>
      <w:color w:val="000000"/>
      <w:kern w:val="0"/>
      <w:szCs w:val="21"/>
    </w:rPr>
  </w:style>
  <w:style w:type="character" w:styleId="11">
    <w:name w:val="FollowedHyperlink"/>
    <w:basedOn w:val="10"/>
    <w:semiHidden/>
    <w:unhideWhenUsed/>
    <w:uiPriority w:val="99"/>
    <w:rPr>
      <w:color w:val="333333"/>
      <w:u w:val="none"/>
    </w:rPr>
  </w:style>
  <w:style w:type="character" w:styleId="12">
    <w:name w:val="Hyperlink"/>
    <w:basedOn w:val="10"/>
    <w:semiHidden/>
    <w:unhideWhenUsed/>
    <w:uiPriority w:val="99"/>
    <w:rPr>
      <w:color w:val="333333"/>
      <w:u w:val="none"/>
    </w:rPr>
  </w:style>
  <w:style w:type="character" w:customStyle="1" w:styleId="13">
    <w:name w:val="页眉 Char"/>
    <w:basedOn w:val="10"/>
    <w:link w:val="7"/>
    <w:qFormat/>
    <w:uiPriority w:val="99"/>
    <w:rPr>
      <w:sz w:val="18"/>
      <w:szCs w:val="18"/>
    </w:rPr>
  </w:style>
  <w:style w:type="character" w:customStyle="1" w:styleId="14">
    <w:name w:val="页脚 Char"/>
    <w:basedOn w:val="10"/>
    <w:link w:val="6"/>
    <w:qFormat/>
    <w:uiPriority w:val="99"/>
    <w:rPr>
      <w:sz w:val="18"/>
      <w:szCs w:val="18"/>
    </w:rPr>
  </w:style>
  <w:style w:type="paragraph" w:customStyle="1" w:styleId="15">
    <w:name w:val="Default"/>
    <w:uiPriority w:val="0"/>
    <w:pPr>
      <w:widowControl w:val="0"/>
      <w:autoSpaceDE w:val="0"/>
      <w:autoSpaceDN w:val="0"/>
      <w:adjustRightInd w:val="0"/>
    </w:pPr>
    <w:rPr>
      <w:rFonts w:ascii="黑体" w:eastAsia="黑体" w:cs="黑体" w:hAnsiTheme="minorHAnsi"/>
      <w:color w:val="000000"/>
      <w:kern w:val="0"/>
      <w:sz w:val="24"/>
      <w:szCs w:val="24"/>
      <w:lang w:val="en-US" w:eastAsia="zh-CN" w:bidi="ar-SA"/>
    </w:rPr>
  </w:style>
  <w:style w:type="paragraph" w:styleId="16">
    <w:name w:val="List Paragraph"/>
    <w:basedOn w:val="1"/>
    <w:qFormat/>
    <w:uiPriority w:val="34"/>
    <w:pPr>
      <w:ind w:firstLine="420" w:firstLineChars="200"/>
    </w:pPr>
  </w:style>
  <w:style w:type="character" w:customStyle="1" w:styleId="17">
    <w:name w:val="批注框文本 Char"/>
    <w:basedOn w:val="10"/>
    <w:link w:val="5"/>
    <w:semiHidden/>
    <w:uiPriority w:val="99"/>
    <w:rPr>
      <w:sz w:val="18"/>
      <w:szCs w:val="18"/>
    </w:rPr>
  </w:style>
  <w:style w:type="character" w:customStyle="1" w:styleId="18">
    <w:name w:val="layui-laypage-curr"/>
    <w:basedOn w:val="10"/>
    <w:uiPriority w:val="0"/>
  </w:style>
  <w:style w:type="character" w:customStyle="1" w:styleId="19">
    <w:name w:val="layui-this"/>
    <w:basedOn w:val="10"/>
    <w:uiPriority w:val="0"/>
    <w:rPr>
      <w:bdr w:val="single" w:color="EEEEEE" w:sz="6" w:space="0"/>
      <w:shd w:val="clear" w:fill="FFFFFF"/>
    </w:rPr>
  </w:style>
  <w:style w:type="character" w:customStyle="1" w:styleId="20">
    <w:name w:val="first-child"/>
    <w:basedOn w:val="10"/>
    <w:uiPriority w:val="0"/>
  </w:style>
  <w:style w:type="character" w:customStyle="1" w:styleId="21">
    <w:name w:val="hover15"/>
    <w:basedOn w:val="10"/>
    <w:uiPriority w:val="0"/>
    <w:rPr>
      <w:color w:val="5FB878"/>
    </w:rPr>
  </w:style>
  <w:style w:type="character" w:customStyle="1" w:styleId="22">
    <w:name w:val="hover16"/>
    <w:basedOn w:val="10"/>
    <w:uiPriority w:val="0"/>
    <w:rPr>
      <w:color w:val="5FB878"/>
    </w:rPr>
  </w:style>
  <w:style w:type="character" w:customStyle="1" w:styleId="23">
    <w:name w:val="hover17"/>
    <w:basedOn w:val="10"/>
    <w:uiPriority w:val="0"/>
    <w:rPr>
      <w:color w:val="FFFFFF"/>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ECA967F-99A7-44AE-8CB3-A0222E97AF6E}">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22</Pages>
  <Words>11360</Words>
  <Characters>12238</Characters>
  <Lines>59</Lines>
  <Paragraphs>16</Paragraphs>
  <TotalTime>0</TotalTime>
  <ScaleCrop>false</ScaleCrop>
  <LinksUpToDate>false</LinksUpToDate>
  <CharactersWithSpaces>12329</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2020-07-02T02:32:00Z</dcterms:created>
  <dc:creator>李航 null</dc:creator>
  <cp:lastModifiedBy>姣^o^</cp:lastModifiedBy>
  <cp:lastPrinted>2020-07-15T07:25:00Z</cp:lastPrinted>
  <dcterms:modified xsi:type="dcterms:W3CDTF">2022-11-30T08:46:15Z</dcterms:modified>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C6F3994C55FF4624852934354126CC95</vt:lpwstr>
  </property>
</Properties>
</file>