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74EE6D">
      <w:pPr>
        <w:pStyle w:val="4"/>
        <w:keepNext/>
        <w:keepLines/>
        <w:pageBreakBefore w:val="0"/>
        <w:widowControl w:val="0"/>
        <w:kinsoku/>
        <w:wordWrap/>
        <w:overflowPunct/>
        <w:topLinePunct w:val="0"/>
        <w:autoSpaceDE/>
        <w:autoSpaceDN/>
        <w:bidi w:val="0"/>
        <w:adjustRightInd/>
        <w:snapToGrid/>
        <w:spacing w:line="360" w:lineRule="auto"/>
        <w:textAlignment w:val="auto"/>
        <w:rPr>
          <w:b/>
          <w:bCs/>
          <w:color w:val="auto"/>
          <w:sz w:val="36"/>
          <w:szCs w:val="36"/>
        </w:rPr>
      </w:pPr>
      <w:bookmarkStart w:id="0" w:name="bookmark2"/>
      <w:bookmarkStart w:id="1" w:name="bookmark1"/>
      <w:bookmarkStart w:id="2" w:name="bookmark0"/>
      <w:bookmarkStart w:id="25" w:name="_GoBack"/>
      <w:bookmarkEnd w:id="25"/>
      <w:r>
        <w:rPr>
          <w:rFonts w:ascii="Times New Roman" w:hAnsi="Times New Roman" w:eastAsia="Times New Roman" w:cs="Times New Roman"/>
          <w:b/>
          <w:bCs/>
          <w:color w:val="auto"/>
          <w:sz w:val="36"/>
          <w:szCs w:val="36"/>
          <w:lang w:val="zh-CN" w:eastAsia="zh-CN" w:bidi="zh-CN"/>
        </w:rPr>
        <w:t>202</w:t>
      </w:r>
      <w:r>
        <w:rPr>
          <w:rFonts w:hint="eastAsia" w:ascii="Times New Roman" w:hAnsi="Times New Roman" w:eastAsia="Times New Roman" w:cs="Times New Roman"/>
          <w:b/>
          <w:bCs/>
          <w:color w:val="auto"/>
          <w:sz w:val="36"/>
          <w:szCs w:val="36"/>
          <w:lang w:val="en-US" w:eastAsia="zh-CN" w:bidi="zh-CN"/>
        </w:rPr>
        <w:t>3</w:t>
      </w:r>
      <w:r>
        <w:rPr>
          <w:b/>
          <w:bCs/>
          <w:color w:val="auto"/>
          <w:sz w:val="36"/>
          <w:szCs w:val="36"/>
        </w:rPr>
        <w:t>年度长沙市望城区总工会</w:t>
      </w:r>
      <w:r>
        <w:rPr>
          <w:b/>
          <w:bCs/>
          <w:color w:val="auto"/>
          <w:sz w:val="36"/>
          <w:szCs w:val="36"/>
        </w:rPr>
        <w:br w:type="textWrapping"/>
      </w:r>
      <w:r>
        <w:rPr>
          <w:b/>
          <w:bCs/>
          <w:color w:val="auto"/>
          <w:sz w:val="36"/>
          <w:szCs w:val="36"/>
        </w:rPr>
        <w:t>部门整体支出预算绩效自评报告</w:t>
      </w:r>
      <w:bookmarkEnd w:id="0"/>
      <w:bookmarkEnd w:id="1"/>
      <w:bookmarkEnd w:id="2"/>
    </w:p>
    <w:p w14:paraId="64277D88">
      <w:pPr>
        <w:pStyle w:val="5"/>
        <w:pageBreakBefore w:val="0"/>
        <w:widowControl w:val="0"/>
        <w:kinsoku/>
        <w:wordWrap/>
        <w:overflowPunct/>
        <w:topLinePunct w:val="0"/>
        <w:autoSpaceDE/>
        <w:autoSpaceDN/>
        <w:bidi w:val="0"/>
        <w:adjustRightInd/>
        <w:snapToGrid/>
        <w:spacing w:line="360" w:lineRule="auto"/>
        <w:ind w:firstLine="500"/>
        <w:jc w:val="both"/>
        <w:textAlignment w:val="auto"/>
        <w:rPr>
          <w:color w:val="auto"/>
          <w:sz w:val="24"/>
          <w:szCs w:val="24"/>
        </w:rPr>
      </w:pPr>
      <w:bookmarkStart w:id="3" w:name="bookmark3"/>
      <w:r>
        <w:rPr>
          <w:color w:val="auto"/>
          <w:sz w:val="24"/>
          <w:szCs w:val="24"/>
        </w:rPr>
        <w:t>一</w:t>
      </w:r>
      <w:bookmarkEnd w:id="3"/>
      <w:r>
        <w:rPr>
          <w:color w:val="auto"/>
          <w:sz w:val="24"/>
          <w:szCs w:val="24"/>
        </w:rPr>
        <w:t>、单位基本情况</w:t>
      </w:r>
    </w:p>
    <w:p w14:paraId="76559C73">
      <w:pPr>
        <w:pStyle w:val="5"/>
        <w:pageBreakBefore w:val="0"/>
        <w:widowControl w:val="0"/>
        <w:tabs>
          <w:tab w:val="left" w:pos="1149"/>
        </w:tabs>
        <w:kinsoku/>
        <w:wordWrap/>
        <w:overflowPunct/>
        <w:topLinePunct w:val="0"/>
        <w:autoSpaceDE/>
        <w:autoSpaceDN/>
        <w:bidi w:val="0"/>
        <w:adjustRightInd/>
        <w:snapToGrid/>
        <w:spacing w:line="360" w:lineRule="auto"/>
        <w:ind w:firstLine="580"/>
        <w:jc w:val="both"/>
        <w:textAlignment w:val="auto"/>
        <w:rPr>
          <w:color w:val="auto"/>
          <w:sz w:val="24"/>
          <w:szCs w:val="24"/>
        </w:rPr>
      </w:pPr>
      <w:bookmarkStart w:id="4" w:name="bookmark4"/>
      <w:r>
        <w:rPr>
          <w:color w:val="auto"/>
          <w:sz w:val="24"/>
          <w:szCs w:val="24"/>
        </w:rPr>
        <w:t>（</w:t>
      </w:r>
      <w:bookmarkEnd w:id="4"/>
      <w:r>
        <w:rPr>
          <w:color w:val="auto"/>
          <w:sz w:val="24"/>
          <w:szCs w:val="24"/>
        </w:rPr>
        <w:t>一）主要职责职能</w:t>
      </w:r>
    </w:p>
    <w:p w14:paraId="131FBE7D">
      <w:pPr>
        <w:pStyle w:val="6"/>
        <w:pageBreakBefore w:val="0"/>
        <w:widowControl w:val="0"/>
        <w:tabs>
          <w:tab w:val="left" w:pos="677"/>
        </w:tabs>
        <w:kinsoku/>
        <w:wordWrap/>
        <w:overflowPunct/>
        <w:topLinePunct w:val="0"/>
        <w:autoSpaceDE/>
        <w:autoSpaceDN/>
        <w:bidi w:val="0"/>
        <w:adjustRightInd/>
        <w:snapToGrid/>
        <w:spacing w:line="360" w:lineRule="auto"/>
        <w:ind w:firstLine="380"/>
        <w:jc w:val="both"/>
        <w:textAlignment w:val="auto"/>
        <w:rPr>
          <w:color w:val="auto"/>
          <w:sz w:val="24"/>
          <w:szCs w:val="24"/>
        </w:rPr>
      </w:pPr>
      <w:bookmarkStart w:id="5" w:name="bookmark5"/>
      <w:r>
        <w:rPr>
          <w:color w:val="auto"/>
          <w:sz w:val="24"/>
          <w:szCs w:val="24"/>
        </w:rPr>
        <w:t>1</w:t>
      </w:r>
      <w:bookmarkEnd w:id="5"/>
      <w:r>
        <w:rPr>
          <w:color w:val="auto"/>
          <w:sz w:val="24"/>
          <w:szCs w:val="24"/>
        </w:rPr>
        <w:t>、</w:t>
      </w:r>
      <w:r>
        <w:rPr>
          <w:color w:val="auto"/>
          <w:sz w:val="24"/>
          <w:szCs w:val="24"/>
        </w:rPr>
        <w:tab/>
      </w:r>
      <w:r>
        <w:rPr>
          <w:color w:val="auto"/>
          <w:sz w:val="24"/>
          <w:szCs w:val="24"/>
        </w:rPr>
        <w:t>根据党的路线、方针、政策，党在各个时期的中心任务和工运方针，按照中华全国总工会、省总工会和市总工会确定的工会工作的指导方针和任务，围绕区委工作大局，结合我区实际，指导全区工会工作；</w:t>
      </w:r>
    </w:p>
    <w:p w14:paraId="72AAE377">
      <w:pPr>
        <w:pStyle w:val="6"/>
        <w:pageBreakBefore w:val="0"/>
        <w:widowControl w:val="0"/>
        <w:tabs>
          <w:tab w:val="left" w:pos="681"/>
        </w:tabs>
        <w:kinsoku/>
        <w:wordWrap/>
        <w:overflowPunct/>
        <w:topLinePunct w:val="0"/>
        <w:autoSpaceDE/>
        <w:autoSpaceDN/>
        <w:bidi w:val="0"/>
        <w:adjustRightInd/>
        <w:snapToGrid/>
        <w:spacing w:line="360" w:lineRule="auto"/>
        <w:ind w:firstLine="380"/>
        <w:jc w:val="both"/>
        <w:textAlignment w:val="auto"/>
        <w:rPr>
          <w:color w:val="auto"/>
          <w:sz w:val="24"/>
          <w:szCs w:val="24"/>
        </w:rPr>
      </w:pPr>
      <w:bookmarkStart w:id="6" w:name="bookmark6"/>
      <w:r>
        <w:rPr>
          <w:color w:val="auto"/>
          <w:sz w:val="24"/>
          <w:szCs w:val="24"/>
        </w:rPr>
        <w:t>2</w:t>
      </w:r>
      <w:bookmarkEnd w:id="6"/>
      <w:r>
        <w:rPr>
          <w:color w:val="auto"/>
          <w:sz w:val="24"/>
          <w:szCs w:val="24"/>
        </w:rPr>
        <w:t>、</w:t>
      </w:r>
      <w:r>
        <w:rPr>
          <w:color w:val="auto"/>
          <w:sz w:val="24"/>
          <w:szCs w:val="24"/>
        </w:rPr>
        <w:tab/>
      </w:r>
      <w:r>
        <w:rPr>
          <w:color w:val="auto"/>
          <w:sz w:val="24"/>
          <w:szCs w:val="24"/>
        </w:rPr>
        <w:t>依照法律和章程，组织和指导全区各级工会履行</w:t>
      </w:r>
      <w:r>
        <w:rPr>
          <w:color w:val="auto"/>
          <w:sz w:val="24"/>
          <w:szCs w:val="24"/>
          <w:lang w:val="zh-CN" w:eastAsia="zh-CN" w:bidi="zh-CN"/>
        </w:rPr>
        <w:t>“维</w:t>
      </w:r>
      <w:r>
        <w:rPr>
          <w:color w:val="auto"/>
          <w:sz w:val="24"/>
          <w:szCs w:val="24"/>
        </w:rPr>
        <w:t>护、建设、参与、教育”等社会职能，贯彻执行长沙市望城区工会代表大会的决议，组织开展工会各项工作；</w:t>
      </w:r>
    </w:p>
    <w:p w14:paraId="0A8A2EF4">
      <w:pPr>
        <w:pStyle w:val="6"/>
        <w:pageBreakBefore w:val="0"/>
        <w:widowControl w:val="0"/>
        <w:tabs>
          <w:tab w:val="left" w:pos="698"/>
        </w:tabs>
        <w:kinsoku/>
        <w:wordWrap/>
        <w:overflowPunct/>
        <w:topLinePunct w:val="0"/>
        <w:autoSpaceDE/>
        <w:autoSpaceDN/>
        <w:bidi w:val="0"/>
        <w:adjustRightInd/>
        <w:snapToGrid/>
        <w:spacing w:line="360" w:lineRule="auto"/>
        <w:ind w:firstLine="380"/>
        <w:jc w:val="both"/>
        <w:textAlignment w:val="auto"/>
        <w:rPr>
          <w:color w:val="auto"/>
          <w:sz w:val="24"/>
          <w:szCs w:val="24"/>
        </w:rPr>
      </w:pPr>
      <w:bookmarkStart w:id="7" w:name="bookmark7"/>
      <w:r>
        <w:rPr>
          <w:color w:val="auto"/>
          <w:sz w:val="24"/>
          <w:szCs w:val="24"/>
        </w:rPr>
        <w:t>3</w:t>
      </w:r>
      <w:bookmarkEnd w:id="7"/>
      <w:r>
        <w:rPr>
          <w:color w:val="auto"/>
          <w:sz w:val="24"/>
          <w:szCs w:val="24"/>
        </w:rPr>
        <w:t>、</w:t>
      </w:r>
      <w:r>
        <w:rPr>
          <w:color w:val="auto"/>
          <w:sz w:val="24"/>
          <w:szCs w:val="24"/>
        </w:rPr>
        <w:tab/>
      </w:r>
      <w:r>
        <w:rPr>
          <w:color w:val="auto"/>
          <w:sz w:val="24"/>
          <w:szCs w:val="24"/>
        </w:rPr>
        <w:t>对有关职工利益的重大问题进行调查研究，向区委、区政府及市总工会、省总工会和中华全国总工会反映职工群众的情绪、愿望和要求，并提出意见和建议，参与涉及职工切身利益的有关政策、措施和制度的制定，对侵犯职工权益的重大事件进行调查并</w:t>
      </w:r>
      <w:r>
        <w:rPr>
          <w:rFonts w:hint="eastAsia"/>
          <w:color w:val="auto"/>
          <w:sz w:val="24"/>
          <w:szCs w:val="24"/>
          <w:lang w:eastAsia="zh-CN"/>
        </w:rPr>
        <w:t>提出</w:t>
      </w:r>
      <w:r>
        <w:rPr>
          <w:color w:val="auto"/>
          <w:sz w:val="24"/>
          <w:szCs w:val="24"/>
        </w:rPr>
        <w:t>处理意见，参与重大工伤事故的调查处理；</w:t>
      </w:r>
    </w:p>
    <w:p w14:paraId="204BA302">
      <w:pPr>
        <w:pStyle w:val="6"/>
        <w:pageBreakBefore w:val="0"/>
        <w:widowControl w:val="0"/>
        <w:tabs>
          <w:tab w:val="left" w:pos="691"/>
        </w:tabs>
        <w:kinsoku/>
        <w:wordWrap/>
        <w:overflowPunct/>
        <w:topLinePunct w:val="0"/>
        <w:autoSpaceDE/>
        <w:autoSpaceDN/>
        <w:bidi w:val="0"/>
        <w:adjustRightInd/>
        <w:snapToGrid/>
        <w:spacing w:line="360" w:lineRule="auto"/>
        <w:ind w:firstLine="380"/>
        <w:jc w:val="both"/>
        <w:textAlignment w:val="auto"/>
        <w:rPr>
          <w:color w:val="auto"/>
          <w:sz w:val="24"/>
          <w:szCs w:val="24"/>
        </w:rPr>
      </w:pPr>
      <w:bookmarkStart w:id="8" w:name="bookmark8"/>
      <w:r>
        <w:rPr>
          <w:color w:val="auto"/>
          <w:sz w:val="24"/>
          <w:szCs w:val="24"/>
        </w:rPr>
        <w:t>4</w:t>
      </w:r>
      <w:bookmarkEnd w:id="8"/>
      <w:r>
        <w:rPr>
          <w:color w:val="auto"/>
          <w:sz w:val="24"/>
          <w:szCs w:val="24"/>
        </w:rPr>
        <w:t>、</w:t>
      </w:r>
      <w:r>
        <w:rPr>
          <w:color w:val="auto"/>
          <w:sz w:val="24"/>
          <w:szCs w:val="24"/>
        </w:rPr>
        <w:tab/>
      </w:r>
      <w:r>
        <w:rPr>
          <w:color w:val="auto"/>
          <w:sz w:val="24"/>
          <w:szCs w:val="24"/>
        </w:rPr>
        <w:t>指导全区各级工会自身建设和改革，不断完善工会的各项组织制度和民主制度，监督检查《中国工会章程》的贯彻执行情况，指导基层工会组织职工开展以职工代表大会，为基本制度的民主选举、民主决策、民主管理和民主监督工作，建立健全调整劳动关系，维护职工劳动权益的平等协商、集体合同制度；</w:t>
      </w:r>
    </w:p>
    <w:p w14:paraId="574520B5">
      <w:pPr>
        <w:pStyle w:val="6"/>
        <w:pageBreakBefore w:val="0"/>
        <w:widowControl w:val="0"/>
        <w:tabs>
          <w:tab w:val="left" w:pos="708"/>
        </w:tabs>
        <w:kinsoku/>
        <w:wordWrap/>
        <w:overflowPunct/>
        <w:topLinePunct w:val="0"/>
        <w:autoSpaceDE/>
        <w:autoSpaceDN/>
        <w:bidi w:val="0"/>
        <w:adjustRightInd/>
        <w:snapToGrid/>
        <w:spacing w:line="360" w:lineRule="auto"/>
        <w:ind w:firstLine="380"/>
        <w:jc w:val="both"/>
        <w:textAlignment w:val="auto"/>
        <w:rPr>
          <w:color w:val="auto"/>
          <w:sz w:val="24"/>
          <w:szCs w:val="24"/>
        </w:rPr>
      </w:pPr>
      <w:bookmarkStart w:id="9" w:name="bookmark9"/>
      <w:r>
        <w:rPr>
          <w:color w:val="auto"/>
          <w:sz w:val="24"/>
          <w:szCs w:val="24"/>
        </w:rPr>
        <w:t>5</w:t>
      </w:r>
      <w:bookmarkEnd w:id="9"/>
      <w:r>
        <w:rPr>
          <w:color w:val="auto"/>
          <w:sz w:val="24"/>
          <w:szCs w:val="24"/>
        </w:rPr>
        <w:t>、</w:t>
      </w:r>
      <w:r>
        <w:rPr>
          <w:color w:val="auto"/>
          <w:sz w:val="24"/>
          <w:szCs w:val="24"/>
        </w:rPr>
        <w:tab/>
      </w:r>
      <w:r>
        <w:rPr>
          <w:color w:val="auto"/>
          <w:sz w:val="24"/>
          <w:szCs w:val="24"/>
        </w:rPr>
        <w:t>管理区总工会直属单位；做好工会干部的管理和培训等工作；</w:t>
      </w:r>
    </w:p>
    <w:p w14:paraId="3D8055F7">
      <w:pPr>
        <w:pStyle w:val="6"/>
        <w:pageBreakBefore w:val="0"/>
        <w:widowControl w:val="0"/>
        <w:tabs>
          <w:tab w:val="left" w:pos="688"/>
        </w:tabs>
        <w:kinsoku/>
        <w:wordWrap/>
        <w:overflowPunct/>
        <w:topLinePunct w:val="0"/>
        <w:autoSpaceDE/>
        <w:autoSpaceDN/>
        <w:bidi w:val="0"/>
        <w:adjustRightInd/>
        <w:snapToGrid/>
        <w:spacing w:line="360" w:lineRule="auto"/>
        <w:ind w:firstLine="380"/>
        <w:jc w:val="both"/>
        <w:textAlignment w:val="auto"/>
        <w:rPr>
          <w:color w:val="auto"/>
          <w:sz w:val="24"/>
          <w:szCs w:val="24"/>
        </w:rPr>
      </w:pPr>
      <w:bookmarkStart w:id="10" w:name="bookmark10"/>
      <w:r>
        <w:rPr>
          <w:color w:val="auto"/>
          <w:sz w:val="24"/>
          <w:szCs w:val="24"/>
        </w:rPr>
        <w:t>6</w:t>
      </w:r>
      <w:bookmarkEnd w:id="10"/>
      <w:r>
        <w:rPr>
          <w:color w:val="auto"/>
          <w:sz w:val="24"/>
          <w:szCs w:val="24"/>
        </w:rPr>
        <w:t>、</w:t>
      </w:r>
      <w:r>
        <w:rPr>
          <w:color w:val="auto"/>
          <w:sz w:val="24"/>
          <w:szCs w:val="24"/>
        </w:rPr>
        <w:tab/>
      </w:r>
      <w:r>
        <w:rPr>
          <w:color w:val="auto"/>
          <w:sz w:val="24"/>
          <w:szCs w:val="24"/>
        </w:rPr>
        <w:t>负责全区基层工会经费的管理、审查、审计工作，研究制定工会组织兴办职工劳动福利事业的有关制度、规定；负责工会劳动福利事业发展的指导、协调工作；管理所属事业单位；</w:t>
      </w:r>
    </w:p>
    <w:p w14:paraId="348681DF">
      <w:pPr>
        <w:pStyle w:val="6"/>
        <w:pageBreakBefore w:val="0"/>
        <w:widowControl w:val="0"/>
        <w:tabs>
          <w:tab w:val="left" w:pos="708"/>
        </w:tabs>
        <w:kinsoku/>
        <w:wordWrap/>
        <w:overflowPunct/>
        <w:topLinePunct w:val="0"/>
        <w:autoSpaceDE/>
        <w:autoSpaceDN/>
        <w:bidi w:val="0"/>
        <w:adjustRightInd/>
        <w:snapToGrid/>
        <w:spacing w:line="360" w:lineRule="auto"/>
        <w:ind w:firstLine="380"/>
        <w:jc w:val="both"/>
        <w:textAlignment w:val="auto"/>
        <w:rPr>
          <w:color w:val="auto"/>
          <w:sz w:val="24"/>
          <w:szCs w:val="24"/>
        </w:rPr>
      </w:pPr>
      <w:bookmarkStart w:id="11" w:name="bookmark11"/>
      <w:r>
        <w:rPr>
          <w:color w:val="auto"/>
          <w:sz w:val="24"/>
          <w:szCs w:val="24"/>
        </w:rPr>
        <w:t>7</w:t>
      </w:r>
      <w:bookmarkEnd w:id="11"/>
      <w:r>
        <w:rPr>
          <w:color w:val="auto"/>
          <w:sz w:val="24"/>
          <w:szCs w:val="24"/>
        </w:rPr>
        <w:t>、</w:t>
      </w:r>
      <w:r>
        <w:rPr>
          <w:color w:val="auto"/>
          <w:sz w:val="24"/>
          <w:szCs w:val="24"/>
        </w:rPr>
        <w:tab/>
      </w:r>
      <w:r>
        <w:rPr>
          <w:color w:val="auto"/>
          <w:sz w:val="24"/>
          <w:szCs w:val="24"/>
        </w:rPr>
        <w:t>承担区委、区人民政府和上级工会交办的其他事项。</w:t>
      </w:r>
    </w:p>
    <w:p w14:paraId="29E15E3B">
      <w:pPr>
        <w:pStyle w:val="5"/>
        <w:pageBreakBefore w:val="0"/>
        <w:widowControl w:val="0"/>
        <w:tabs>
          <w:tab w:val="left" w:pos="1079"/>
        </w:tabs>
        <w:kinsoku/>
        <w:wordWrap/>
        <w:overflowPunct/>
        <w:topLinePunct w:val="0"/>
        <w:autoSpaceDE/>
        <w:autoSpaceDN/>
        <w:bidi w:val="0"/>
        <w:adjustRightInd/>
        <w:snapToGrid/>
        <w:spacing w:after="80" w:line="360" w:lineRule="auto"/>
        <w:ind w:firstLine="500"/>
        <w:jc w:val="both"/>
        <w:textAlignment w:val="auto"/>
        <w:rPr>
          <w:color w:val="auto"/>
          <w:sz w:val="24"/>
          <w:szCs w:val="24"/>
        </w:rPr>
      </w:pPr>
      <w:bookmarkStart w:id="12" w:name="bookmark12"/>
      <w:r>
        <w:rPr>
          <w:color w:val="auto"/>
          <w:sz w:val="24"/>
          <w:szCs w:val="24"/>
        </w:rPr>
        <w:t>（</w:t>
      </w:r>
      <w:bookmarkEnd w:id="12"/>
      <w:r>
        <w:rPr>
          <w:color w:val="auto"/>
          <w:sz w:val="24"/>
          <w:szCs w:val="24"/>
        </w:rPr>
        <w:t>二）</w:t>
      </w:r>
      <w:r>
        <w:rPr>
          <w:color w:val="auto"/>
          <w:sz w:val="24"/>
          <w:szCs w:val="24"/>
        </w:rPr>
        <w:tab/>
      </w:r>
      <w:r>
        <w:rPr>
          <w:color w:val="auto"/>
          <w:sz w:val="24"/>
          <w:szCs w:val="24"/>
        </w:rPr>
        <w:t>机构设置情况</w:t>
      </w:r>
    </w:p>
    <w:p w14:paraId="7144ED7B">
      <w:pPr>
        <w:pStyle w:val="6"/>
        <w:pageBreakBefore w:val="0"/>
        <w:widowControl w:val="0"/>
        <w:kinsoku/>
        <w:wordWrap/>
        <w:overflowPunct/>
        <w:topLinePunct w:val="0"/>
        <w:autoSpaceDE/>
        <w:autoSpaceDN/>
        <w:bidi w:val="0"/>
        <w:adjustRightInd/>
        <w:snapToGrid/>
        <w:spacing w:line="360" w:lineRule="auto"/>
        <w:jc w:val="both"/>
        <w:textAlignment w:val="auto"/>
        <w:rPr>
          <w:color w:val="auto"/>
          <w:sz w:val="24"/>
          <w:szCs w:val="24"/>
        </w:rPr>
      </w:pPr>
      <w:r>
        <w:rPr>
          <w:color w:val="auto"/>
          <w:sz w:val="24"/>
          <w:szCs w:val="24"/>
        </w:rPr>
        <w:t>纳入</w:t>
      </w:r>
      <w:r>
        <w:rPr>
          <w:rFonts w:hint="eastAsia"/>
          <w:color w:val="auto"/>
          <w:sz w:val="24"/>
          <w:szCs w:val="24"/>
          <w:lang w:val="zh-CN" w:eastAsia="zh-CN" w:bidi="zh-CN"/>
        </w:rPr>
        <w:t>202</w:t>
      </w:r>
      <w:r>
        <w:rPr>
          <w:rFonts w:hint="eastAsia"/>
          <w:color w:val="auto"/>
          <w:sz w:val="24"/>
          <w:szCs w:val="24"/>
          <w:lang w:val="en-US" w:eastAsia="zh-CN" w:bidi="zh-CN"/>
        </w:rPr>
        <w:t>3</w:t>
      </w:r>
      <w:r>
        <w:rPr>
          <w:rFonts w:hint="eastAsia"/>
          <w:color w:val="auto"/>
          <w:sz w:val="24"/>
          <w:szCs w:val="24"/>
          <w:lang w:val="zh-CN" w:eastAsia="zh-CN" w:bidi="zh-CN"/>
        </w:rPr>
        <w:t>年</w:t>
      </w:r>
      <w:r>
        <w:rPr>
          <w:color w:val="auto"/>
          <w:sz w:val="24"/>
          <w:szCs w:val="24"/>
        </w:rPr>
        <w:t>度部门决算汇编范围的独立核算单位共1个，即长沙市望城区总工会本级，全额财政拨款，执行</w:t>
      </w:r>
      <w:r>
        <w:rPr>
          <w:rFonts w:hint="eastAsia"/>
          <w:color w:val="auto"/>
          <w:sz w:val="24"/>
          <w:szCs w:val="24"/>
          <w:lang w:eastAsia="zh-CN"/>
        </w:rPr>
        <w:t>工会</w:t>
      </w:r>
      <w:r>
        <w:rPr>
          <w:color w:val="auto"/>
          <w:sz w:val="24"/>
          <w:szCs w:val="24"/>
        </w:rPr>
        <w:t>会计制度。下设职能处室共1个，即办公室职能处室。</w:t>
      </w:r>
    </w:p>
    <w:p w14:paraId="28D19C6C">
      <w:pPr>
        <w:pStyle w:val="6"/>
        <w:pageBreakBefore w:val="0"/>
        <w:widowControl w:val="0"/>
        <w:kinsoku/>
        <w:wordWrap/>
        <w:overflowPunct/>
        <w:topLinePunct w:val="0"/>
        <w:autoSpaceDE/>
        <w:autoSpaceDN/>
        <w:bidi w:val="0"/>
        <w:adjustRightInd/>
        <w:snapToGrid/>
        <w:spacing w:line="360" w:lineRule="auto"/>
        <w:ind w:firstLine="420"/>
        <w:jc w:val="both"/>
        <w:textAlignment w:val="auto"/>
        <w:rPr>
          <w:color w:val="auto"/>
          <w:sz w:val="24"/>
          <w:szCs w:val="24"/>
        </w:rPr>
      </w:pPr>
      <w:r>
        <w:rPr>
          <w:color w:val="auto"/>
          <w:sz w:val="24"/>
          <w:szCs w:val="24"/>
        </w:rPr>
        <w:t>办公室职责：负责区总工会</w:t>
      </w:r>
      <w:r>
        <w:rPr>
          <w:rFonts w:hint="eastAsia"/>
          <w:color w:val="auto"/>
          <w:sz w:val="24"/>
          <w:szCs w:val="24"/>
          <w:lang w:eastAsia="zh-CN"/>
        </w:rPr>
        <w:t>党组会</w:t>
      </w:r>
      <w:r>
        <w:rPr>
          <w:color w:val="auto"/>
          <w:sz w:val="24"/>
          <w:szCs w:val="24"/>
        </w:rPr>
        <w:t>部署工作的协调、督查和综合服务工作；负责纪检监察、组织、党建、机构编制、宣传、统战、精神文明建设工作；负责干部、 人才人事、工资福利、社会保障、教育培训、出国（境）和退休人员管理等工作；负责会务、文书、机要、保密、信息、档案、信访、综合调研、财务管理、总务后勤、 安全保卫等工作；负责协调安排各项工会业务工作，对重大工作进行督办。</w:t>
      </w:r>
    </w:p>
    <w:p w14:paraId="6547FDF5">
      <w:pPr>
        <w:pStyle w:val="5"/>
        <w:pageBreakBefore w:val="0"/>
        <w:widowControl w:val="0"/>
        <w:kinsoku/>
        <w:wordWrap/>
        <w:overflowPunct/>
        <w:topLinePunct w:val="0"/>
        <w:autoSpaceDE/>
        <w:autoSpaceDN/>
        <w:bidi w:val="0"/>
        <w:adjustRightInd/>
        <w:snapToGrid/>
        <w:spacing w:line="360" w:lineRule="auto"/>
        <w:ind w:firstLine="540"/>
        <w:textAlignment w:val="auto"/>
        <w:rPr>
          <w:color w:val="auto"/>
          <w:sz w:val="24"/>
          <w:szCs w:val="24"/>
        </w:rPr>
      </w:pPr>
      <w:bookmarkStart w:id="13" w:name="bookmark13"/>
      <w:r>
        <w:rPr>
          <w:color w:val="auto"/>
          <w:sz w:val="24"/>
          <w:szCs w:val="24"/>
        </w:rPr>
        <w:t>（</w:t>
      </w:r>
      <w:bookmarkEnd w:id="13"/>
      <w:r>
        <w:rPr>
          <w:color w:val="auto"/>
          <w:sz w:val="24"/>
          <w:szCs w:val="24"/>
        </w:rPr>
        <w:t>三）人员概况</w:t>
      </w:r>
    </w:p>
    <w:p w14:paraId="350B1229">
      <w:pPr>
        <w:pStyle w:val="6"/>
        <w:pageBreakBefore w:val="0"/>
        <w:widowControl w:val="0"/>
        <w:kinsoku/>
        <w:wordWrap/>
        <w:overflowPunct/>
        <w:topLinePunct w:val="0"/>
        <w:autoSpaceDE/>
        <w:autoSpaceDN/>
        <w:bidi w:val="0"/>
        <w:adjustRightInd/>
        <w:snapToGrid/>
        <w:spacing w:line="360" w:lineRule="auto"/>
        <w:ind w:firstLine="420"/>
        <w:jc w:val="both"/>
        <w:textAlignment w:val="auto"/>
        <w:rPr>
          <w:color w:val="auto"/>
          <w:sz w:val="24"/>
          <w:szCs w:val="24"/>
        </w:rPr>
      </w:pPr>
      <w:r>
        <w:rPr>
          <w:color w:val="auto"/>
          <w:sz w:val="24"/>
          <w:szCs w:val="24"/>
        </w:rPr>
        <w:t>区总工会共有编制人数为1</w:t>
      </w:r>
      <w:r>
        <w:rPr>
          <w:rFonts w:hint="eastAsia"/>
          <w:color w:val="auto"/>
          <w:sz w:val="24"/>
          <w:szCs w:val="24"/>
          <w:lang w:val="en-US" w:eastAsia="zh-CN"/>
        </w:rPr>
        <w:t>6人</w:t>
      </w:r>
      <w:r>
        <w:rPr>
          <w:color w:val="auto"/>
          <w:sz w:val="24"/>
          <w:szCs w:val="24"/>
        </w:rPr>
        <w:t>，</w:t>
      </w:r>
      <w:r>
        <w:rPr>
          <w:rFonts w:hint="eastAsia"/>
          <w:color w:val="auto"/>
          <w:sz w:val="24"/>
          <w:szCs w:val="24"/>
          <w:lang w:eastAsia="zh-CN"/>
        </w:rPr>
        <w:t>202</w:t>
      </w:r>
      <w:r>
        <w:rPr>
          <w:rFonts w:hint="eastAsia"/>
          <w:color w:val="auto"/>
          <w:sz w:val="24"/>
          <w:szCs w:val="24"/>
          <w:lang w:val="en-US" w:eastAsia="zh-CN"/>
        </w:rPr>
        <w:t>3</w:t>
      </w:r>
      <w:r>
        <w:rPr>
          <w:rFonts w:hint="eastAsia"/>
          <w:color w:val="auto"/>
          <w:sz w:val="24"/>
          <w:szCs w:val="24"/>
          <w:lang w:eastAsia="zh-CN"/>
        </w:rPr>
        <w:t>年</w:t>
      </w:r>
      <w:r>
        <w:rPr>
          <w:color w:val="auto"/>
          <w:sz w:val="24"/>
          <w:szCs w:val="24"/>
        </w:rPr>
        <w:t>末在职人员总计1</w:t>
      </w:r>
      <w:r>
        <w:rPr>
          <w:rFonts w:hint="eastAsia"/>
          <w:color w:val="auto"/>
          <w:sz w:val="24"/>
          <w:szCs w:val="24"/>
          <w:lang w:val="en-US" w:eastAsia="zh-CN"/>
        </w:rPr>
        <w:t>6</w:t>
      </w:r>
      <w:r>
        <w:rPr>
          <w:color w:val="auto"/>
          <w:sz w:val="24"/>
          <w:szCs w:val="24"/>
        </w:rPr>
        <w:t>人</w:t>
      </w:r>
      <w:r>
        <w:rPr>
          <w:rFonts w:hint="eastAsia"/>
          <w:color w:val="auto"/>
          <w:sz w:val="24"/>
          <w:szCs w:val="24"/>
          <w:lang w:eastAsia="zh-CN"/>
        </w:rPr>
        <w:t>，</w:t>
      </w:r>
      <w:r>
        <w:rPr>
          <w:color w:val="auto"/>
          <w:sz w:val="24"/>
          <w:szCs w:val="24"/>
        </w:rPr>
        <w:t>全部为一般公共预算财政拨款开支人员，其中：行政人员</w:t>
      </w:r>
      <w:r>
        <w:rPr>
          <w:rFonts w:hint="eastAsia"/>
          <w:color w:val="auto"/>
          <w:sz w:val="24"/>
          <w:szCs w:val="24"/>
          <w:lang w:val="en-US" w:eastAsia="zh-CN"/>
        </w:rPr>
        <w:t>8</w:t>
      </w:r>
      <w:r>
        <w:rPr>
          <w:color w:val="auto"/>
          <w:sz w:val="24"/>
          <w:szCs w:val="24"/>
        </w:rPr>
        <w:t>人，非参公事业人员</w:t>
      </w:r>
      <w:r>
        <w:rPr>
          <w:rFonts w:hint="eastAsia"/>
          <w:color w:val="auto"/>
          <w:sz w:val="24"/>
          <w:szCs w:val="24"/>
          <w:lang w:val="en-US" w:eastAsia="zh-CN"/>
        </w:rPr>
        <w:t>8</w:t>
      </w:r>
      <w:r>
        <w:rPr>
          <w:color w:val="auto"/>
          <w:sz w:val="24"/>
          <w:szCs w:val="24"/>
        </w:rPr>
        <w:t>人。在职人员控制率为</w:t>
      </w:r>
      <w:r>
        <w:rPr>
          <w:color w:val="auto"/>
          <w:sz w:val="24"/>
          <w:szCs w:val="24"/>
          <w:lang w:val="en-US" w:eastAsia="zh-CN" w:bidi="en-US"/>
        </w:rPr>
        <w:t>100.</w:t>
      </w:r>
      <w:r>
        <w:rPr>
          <w:color w:val="auto"/>
          <w:sz w:val="24"/>
          <w:szCs w:val="24"/>
        </w:rPr>
        <w:t>00%。</w:t>
      </w:r>
    </w:p>
    <w:p w14:paraId="419555CC">
      <w:pPr>
        <w:pStyle w:val="5"/>
        <w:pageBreakBefore w:val="0"/>
        <w:widowControl w:val="0"/>
        <w:kinsoku/>
        <w:wordWrap/>
        <w:overflowPunct/>
        <w:topLinePunct w:val="0"/>
        <w:autoSpaceDE/>
        <w:autoSpaceDN/>
        <w:bidi w:val="0"/>
        <w:adjustRightInd/>
        <w:snapToGrid/>
        <w:spacing w:line="360" w:lineRule="auto"/>
        <w:ind w:firstLine="360"/>
        <w:textAlignment w:val="auto"/>
        <w:rPr>
          <w:color w:val="auto"/>
          <w:sz w:val="24"/>
          <w:szCs w:val="24"/>
        </w:rPr>
      </w:pPr>
      <w:bookmarkStart w:id="14" w:name="bookmark14"/>
      <w:r>
        <w:rPr>
          <w:color w:val="auto"/>
          <w:sz w:val="24"/>
          <w:szCs w:val="24"/>
        </w:rPr>
        <w:t>二</w:t>
      </w:r>
      <w:bookmarkEnd w:id="14"/>
      <w:r>
        <w:rPr>
          <w:color w:val="auto"/>
          <w:sz w:val="24"/>
          <w:szCs w:val="24"/>
        </w:rPr>
        <w:t>、部门整体预算支出情况</w:t>
      </w:r>
    </w:p>
    <w:p w14:paraId="20B2A911">
      <w:pPr>
        <w:pStyle w:val="5"/>
        <w:pageBreakBefore w:val="0"/>
        <w:widowControl w:val="0"/>
        <w:kinsoku/>
        <w:wordWrap/>
        <w:overflowPunct/>
        <w:topLinePunct w:val="0"/>
        <w:autoSpaceDE/>
        <w:autoSpaceDN/>
        <w:bidi w:val="0"/>
        <w:adjustRightInd/>
        <w:snapToGrid/>
        <w:spacing w:line="360" w:lineRule="auto"/>
        <w:ind w:firstLine="540"/>
        <w:textAlignment w:val="auto"/>
        <w:rPr>
          <w:color w:val="auto"/>
          <w:sz w:val="24"/>
          <w:szCs w:val="24"/>
        </w:rPr>
      </w:pPr>
      <w:r>
        <w:rPr>
          <w:color w:val="auto"/>
          <w:sz w:val="24"/>
          <w:szCs w:val="24"/>
          <w:lang w:val="en-US" w:eastAsia="zh-CN" w:bidi="en-US"/>
        </w:rPr>
        <w:t>（</w:t>
      </w:r>
      <w:r>
        <w:rPr>
          <w:rFonts w:hint="eastAsia"/>
          <w:color w:val="auto"/>
          <w:sz w:val="24"/>
          <w:szCs w:val="24"/>
          <w:lang w:val="en-US" w:eastAsia="zh-CN" w:bidi="en-US"/>
        </w:rPr>
        <w:t>一</w:t>
      </w:r>
      <w:r>
        <w:rPr>
          <w:color w:val="auto"/>
          <w:sz w:val="24"/>
          <w:szCs w:val="24"/>
          <w:lang w:val="en-US" w:eastAsia="zh-CN" w:bidi="en-US"/>
        </w:rPr>
        <w:t>）</w:t>
      </w:r>
      <w:r>
        <w:rPr>
          <w:color w:val="auto"/>
          <w:sz w:val="24"/>
          <w:szCs w:val="24"/>
        </w:rPr>
        <w:t>基本支出情况</w:t>
      </w:r>
    </w:p>
    <w:p w14:paraId="20A22FA4">
      <w:pPr>
        <w:pStyle w:val="5"/>
        <w:pageBreakBefore w:val="0"/>
        <w:widowControl w:val="0"/>
        <w:tabs>
          <w:tab w:val="left" w:pos="685"/>
        </w:tabs>
        <w:kinsoku/>
        <w:wordWrap/>
        <w:overflowPunct/>
        <w:topLinePunct w:val="0"/>
        <w:autoSpaceDE/>
        <w:autoSpaceDN/>
        <w:bidi w:val="0"/>
        <w:adjustRightInd/>
        <w:snapToGrid/>
        <w:spacing w:line="360" w:lineRule="auto"/>
        <w:ind w:firstLine="360"/>
        <w:textAlignment w:val="auto"/>
        <w:rPr>
          <w:color w:val="auto"/>
          <w:sz w:val="24"/>
          <w:szCs w:val="24"/>
        </w:rPr>
      </w:pPr>
      <w:bookmarkStart w:id="15" w:name="bookmark15"/>
      <w:r>
        <w:rPr>
          <w:color w:val="auto"/>
          <w:sz w:val="24"/>
          <w:szCs w:val="24"/>
        </w:rPr>
        <w:t>1</w:t>
      </w:r>
      <w:bookmarkEnd w:id="15"/>
      <w:r>
        <w:rPr>
          <w:color w:val="auto"/>
          <w:sz w:val="24"/>
          <w:szCs w:val="24"/>
        </w:rPr>
        <w:t>、</w:t>
      </w:r>
      <w:r>
        <w:rPr>
          <w:color w:val="auto"/>
          <w:sz w:val="24"/>
          <w:szCs w:val="24"/>
        </w:rPr>
        <w:tab/>
      </w:r>
      <w:r>
        <w:rPr>
          <w:color w:val="auto"/>
          <w:sz w:val="24"/>
          <w:szCs w:val="24"/>
        </w:rPr>
        <w:t>基本支出本年使用情况</w:t>
      </w:r>
    </w:p>
    <w:p w14:paraId="04796004">
      <w:pPr>
        <w:pStyle w:val="6"/>
        <w:pageBreakBefore w:val="0"/>
        <w:widowControl w:val="0"/>
        <w:kinsoku/>
        <w:wordWrap/>
        <w:overflowPunct/>
        <w:topLinePunct w:val="0"/>
        <w:autoSpaceDE/>
        <w:autoSpaceDN/>
        <w:bidi w:val="0"/>
        <w:adjustRightInd/>
        <w:snapToGrid/>
        <w:spacing w:line="360" w:lineRule="auto"/>
        <w:ind w:firstLine="420"/>
        <w:jc w:val="both"/>
        <w:textAlignment w:val="auto"/>
        <w:rPr>
          <w:color w:val="auto"/>
          <w:sz w:val="24"/>
          <w:szCs w:val="24"/>
        </w:rPr>
      </w:pPr>
      <w:r>
        <w:rPr>
          <w:color w:val="auto"/>
          <w:sz w:val="24"/>
          <w:szCs w:val="24"/>
        </w:rPr>
        <w:t>本单位基本支出的范围和主要用途包括本单位的人员经费和公用经费。具体包括：工资福利支出、商品和服务支出、对个人和家庭的补助。</w:t>
      </w:r>
    </w:p>
    <w:p w14:paraId="6349F6F0">
      <w:pPr>
        <w:pStyle w:val="6"/>
        <w:pageBreakBefore w:val="0"/>
        <w:widowControl w:val="0"/>
        <w:kinsoku/>
        <w:wordWrap/>
        <w:overflowPunct/>
        <w:topLinePunct w:val="0"/>
        <w:autoSpaceDE/>
        <w:autoSpaceDN/>
        <w:bidi w:val="0"/>
        <w:adjustRightInd/>
        <w:snapToGrid/>
        <w:spacing w:line="360" w:lineRule="auto"/>
        <w:ind w:firstLine="420"/>
        <w:jc w:val="both"/>
        <w:textAlignment w:val="auto"/>
        <w:rPr>
          <w:color w:val="auto"/>
          <w:sz w:val="24"/>
          <w:szCs w:val="24"/>
        </w:rPr>
      </w:pPr>
      <w:r>
        <w:rPr>
          <w:color w:val="auto"/>
          <w:sz w:val="24"/>
          <w:szCs w:val="24"/>
        </w:rPr>
        <w:t>基本支出年初预算数为</w:t>
      </w:r>
      <w:r>
        <w:rPr>
          <w:rFonts w:hint="eastAsia"/>
          <w:color w:val="auto"/>
          <w:sz w:val="24"/>
          <w:szCs w:val="24"/>
          <w:lang w:val="en-US" w:eastAsia="zh-CN"/>
        </w:rPr>
        <w:t>493.06</w:t>
      </w:r>
      <w:r>
        <w:rPr>
          <w:color w:val="auto"/>
          <w:sz w:val="24"/>
          <w:szCs w:val="24"/>
        </w:rPr>
        <w:t>万元，决算数为</w:t>
      </w:r>
      <w:r>
        <w:rPr>
          <w:rFonts w:hint="eastAsia"/>
          <w:color w:val="auto"/>
          <w:sz w:val="24"/>
          <w:szCs w:val="24"/>
          <w:lang w:val="en-US" w:eastAsia="zh-CN"/>
        </w:rPr>
        <w:t>513.3</w:t>
      </w:r>
      <w:r>
        <w:rPr>
          <w:color w:val="auto"/>
          <w:sz w:val="24"/>
          <w:szCs w:val="24"/>
        </w:rPr>
        <w:t>万元，其中：工资福利支出</w:t>
      </w:r>
      <w:r>
        <w:rPr>
          <w:rFonts w:hint="eastAsia"/>
          <w:color w:val="auto"/>
          <w:sz w:val="24"/>
          <w:szCs w:val="24"/>
          <w:lang w:val="en-US" w:eastAsia="zh-CN"/>
        </w:rPr>
        <w:t>391.8</w:t>
      </w:r>
      <w:r>
        <w:rPr>
          <w:color w:val="auto"/>
          <w:sz w:val="24"/>
          <w:szCs w:val="24"/>
        </w:rPr>
        <w:t>万元、商品和服务支出</w:t>
      </w:r>
      <w:r>
        <w:rPr>
          <w:rFonts w:hint="eastAsia"/>
          <w:color w:val="auto"/>
          <w:sz w:val="24"/>
          <w:szCs w:val="24"/>
          <w:lang w:val="en-US" w:eastAsia="zh-CN"/>
        </w:rPr>
        <w:t>13.4</w:t>
      </w:r>
      <w:r>
        <w:rPr>
          <w:color w:val="auto"/>
          <w:sz w:val="24"/>
          <w:szCs w:val="24"/>
        </w:rPr>
        <w:t>万元、对个人和家庭的补助</w:t>
      </w:r>
      <w:r>
        <w:rPr>
          <w:rFonts w:hint="eastAsia"/>
          <w:color w:val="auto"/>
          <w:sz w:val="24"/>
          <w:szCs w:val="24"/>
          <w:lang w:val="en-US" w:eastAsia="zh-CN"/>
        </w:rPr>
        <w:t>108</w:t>
      </w:r>
      <w:r>
        <w:rPr>
          <w:color w:val="auto"/>
          <w:sz w:val="24"/>
          <w:szCs w:val="24"/>
        </w:rPr>
        <w:t>万元。</w:t>
      </w:r>
    </w:p>
    <w:p w14:paraId="3ACC793E">
      <w:pPr>
        <w:pStyle w:val="5"/>
        <w:pageBreakBefore w:val="0"/>
        <w:widowControl w:val="0"/>
        <w:tabs>
          <w:tab w:val="left" w:pos="692"/>
        </w:tabs>
        <w:kinsoku/>
        <w:wordWrap/>
        <w:overflowPunct/>
        <w:topLinePunct w:val="0"/>
        <w:autoSpaceDE/>
        <w:autoSpaceDN/>
        <w:bidi w:val="0"/>
        <w:adjustRightInd/>
        <w:snapToGrid/>
        <w:spacing w:after="120" w:line="360" w:lineRule="auto"/>
        <w:ind w:firstLine="360"/>
        <w:textAlignment w:val="auto"/>
        <w:rPr>
          <w:color w:val="auto"/>
          <w:sz w:val="24"/>
          <w:szCs w:val="24"/>
        </w:rPr>
      </w:pPr>
      <w:bookmarkStart w:id="16" w:name="bookmark16"/>
      <w:r>
        <w:rPr>
          <w:color w:val="auto"/>
          <w:sz w:val="24"/>
          <w:szCs w:val="24"/>
        </w:rPr>
        <w:t>2</w:t>
      </w:r>
      <w:bookmarkEnd w:id="16"/>
      <w:r>
        <w:rPr>
          <w:color w:val="auto"/>
          <w:sz w:val="24"/>
          <w:szCs w:val="24"/>
        </w:rPr>
        <w:t>、</w:t>
      </w:r>
      <w:r>
        <w:rPr>
          <w:color w:val="auto"/>
          <w:sz w:val="24"/>
          <w:szCs w:val="24"/>
        </w:rPr>
        <w:tab/>
      </w:r>
      <w:r>
        <w:rPr>
          <w:color w:val="auto"/>
          <w:sz w:val="24"/>
          <w:szCs w:val="24"/>
        </w:rPr>
        <w:t>本年基本支出预算执行情况</w:t>
      </w:r>
    </w:p>
    <w:tbl>
      <w:tblPr>
        <w:tblStyle w:val="2"/>
        <w:tblW w:w="0" w:type="auto"/>
        <w:jc w:val="center"/>
        <w:tblLayout w:type="fixed"/>
        <w:tblCellMar>
          <w:top w:w="0" w:type="dxa"/>
          <w:left w:w="10" w:type="dxa"/>
          <w:bottom w:w="0" w:type="dxa"/>
          <w:right w:w="10" w:type="dxa"/>
        </w:tblCellMar>
      </w:tblPr>
      <w:tblGrid>
        <w:gridCol w:w="2382"/>
        <w:gridCol w:w="2268"/>
        <w:gridCol w:w="2268"/>
        <w:gridCol w:w="2268"/>
      </w:tblGrid>
      <w:tr w14:paraId="57FE35D7">
        <w:tblPrEx>
          <w:tblCellMar>
            <w:top w:w="0" w:type="dxa"/>
            <w:left w:w="10" w:type="dxa"/>
            <w:bottom w:w="0" w:type="dxa"/>
            <w:right w:w="10" w:type="dxa"/>
          </w:tblCellMar>
        </w:tblPrEx>
        <w:trPr>
          <w:trHeight w:val="680" w:hRule="exact"/>
          <w:jc w:val="center"/>
        </w:trPr>
        <w:tc>
          <w:tcPr>
            <w:tcW w:w="2382" w:type="dxa"/>
            <w:tcBorders>
              <w:top w:val="single" w:color="auto" w:sz="4" w:space="0"/>
              <w:left w:val="single" w:color="auto" w:sz="4" w:space="0"/>
            </w:tcBorders>
            <w:shd w:val="clear" w:color="auto" w:fill="FFFFFF"/>
            <w:vAlign w:val="center"/>
          </w:tcPr>
          <w:p w14:paraId="47E3FBAD">
            <w:pPr>
              <w:pStyle w:val="7"/>
              <w:pageBreakBefore w:val="0"/>
              <w:widowControl w:val="0"/>
              <w:kinsoku/>
              <w:wordWrap/>
              <w:overflowPunct/>
              <w:topLinePunct w:val="0"/>
              <w:autoSpaceDE/>
              <w:autoSpaceDN/>
              <w:bidi w:val="0"/>
              <w:adjustRightInd/>
              <w:snapToGrid/>
              <w:spacing w:line="360" w:lineRule="auto"/>
              <w:ind w:firstLine="0"/>
              <w:jc w:val="center"/>
              <w:textAlignment w:val="auto"/>
              <w:rPr>
                <w:color w:val="auto"/>
                <w:sz w:val="24"/>
                <w:szCs w:val="24"/>
              </w:rPr>
            </w:pPr>
            <w:r>
              <w:rPr>
                <w:color w:val="auto"/>
                <w:sz w:val="24"/>
                <w:szCs w:val="24"/>
              </w:rPr>
              <w:t>预算项目</w:t>
            </w:r>
          </w:p>
        </w:tc>
        <w:tc>
          <w:tcPr>
            <w:tcW w:w="2268" w:type="dxa"/>
            <w:tcBorders>
              <w:top w:val="single" w:color="auto" w:sz="4" w:space="0"/>
              <w:left w:val="single" w:color="auto" w:sz="4" w:space="0"/>
            </w:tcBorders>
            <w:shd w:val="clear" w:color="auto" w:fill="FFFFFF"/>
            <w:vAlign w:val="bottom"/>
          </w:tcPr>
          <w:p w14:paraId="4243B72D">
            <w:pPr>
              <w:pStyle w:val="7"/>
              <w:pageBreakBefore w:val="0"/>
              <w:widowControl w:val="0"/>
              <w:kinsoku/>
              <w:wordWrap/>
              <w:overflowPunct/>
              <w:topLinePunct w:val="0"/>
              <w:autoSpaceDE/>
              <w:autoSpaceDN/>
              <w:bidi w:val="0"/>
              <w:adjustRightInd/>
              <w:snapToGrid/>
              <w:spacing w:after="120" w:line="360" w:lineRule="auto"/>
              <w:ind w:firstLine="0"/>
              <w:jc w:val="center"/>
              <w:textAlignment w:val="auto"/>
              <w:rPr>
                <w:rFonts w:hint="eastAsia"/>
                <w:color w:val="auto"/>
                <w:sz w:val="24"/>
                <w:szCs w:val="24"/>
                <w:lang w:eastAsia="zh-CN"/>
              </w:rPr>
            </w:pPr>
            <w:r>
              <w:rPr>
                <w:color w:val="auto"/>
                <w:sz w:val="24"/>
                <w:szCs w:val="24"/>
              </w:rPr>
              <w:t>预算可用指标</w:t>
            </w:r>
          </w:p>
          <w:p w14:paraId="05E57707">
            <w:pPr>
              <w:pStyle w:val="7"/>
              <w:pageBreakBefore w:val="0"/>
              <w:widowControl w:val="0"/>
              <w:kinsoku/>
              <w:wordWrap/>
              <w:overflowPunct/>
              <w:topLinePunct w:val="0"/>
              <w:autoSpaceDE/>
              <w:autoSpaceDN/>
              <w:bidi w:val="0"/>
              <w:adjustRightInd/>
              <w:snapToGrid/>
              <w:spacing w:after="120" w:line="360" w:lineRule="auto"/>
              <w:ind w:firstLine="0"/>
              <w:jc w:val="center"/>
              <w:textAlignment w:val="auto"/>
              <w:rPr>
                <w:color w:val="auto"/>
                <w:sz w:val="24"/>
                <w:szCs w:val="24"/>
              </w:rPr>
            </w:pPr>
            <w:r>
              <w:rPr>
                <w:color w:val="auto"/>
                <w:sz w:val="24"/>
                <w:szCs w:val="24"/>
              </w:rPr>
              <w:t>（万元）</w:t>
            </w:r>
          </w:p>
        </w:tc>
        <w:tc>
          <w:tcPr>
            <w:tcW w:w="2268" w:type="dxa"/>
            <w:tcBorders>
              <w:top w:val="single" w:color="auto" w:sz="4" w:space="0"/>
              <w:left w:val="single" w:color="auto" w:sz="4" w:space="0"/>
            </w:tcBorders>
            <w:shd w:val="clear" w:color="auto" w:fill="FFFFFF"/>
            <w:vAlign w:val="bottom"/>
          </w:tcPr>
          <w:p w14:paraId="1A4CB90B">
            <w:pPr>
              <w:pStyle w:val="7"/>
              <w:pageBreakBefore w:val="0"/>
              <w:widowControl w:val="0"/>
              <w:kinsoku/>
              <w:wordWrap/>
              <w:overflowPunct/>
              <w:topLinePunct w:val="0"/>
              <w:autoSpaceDE/>
              <w:autoSpaceDN/>
              <w:bidi w:val="0"/>
              <w:adjustRightInd/>
              <w:snapToGrid/>
              <w:spacing w:after="120" w:line="360" w:lineRule="auto"/>
              <w:ind w:firstLine="0"/>
              <w:jc w:val="center"/>
              <w:textAlignment w:val="auto"/>
              <w:rPr>
                <w:color w:val="auto"/>
                <w:sz w:val="24"/>
                <w:szCs w:val="24"/>
              </w:rPr>
            </w:pPr>
            <w:r>
              <w:rPr>
                <w:color w:val="auto"/>
                <w:sz w:val="24"/>
                <w:szCs w:val="24"/>
              </w:rPr>
              <w:t>本年决算金额</w:t>
            </w:r>
          </w:p>
          <w:p w14:paraId="36C0F74E">
            <w:pPr>
              <w:pStyle w:val="7"/>
              <w:pageBreakBefore w:val="0"/>
              <w:widowControl w:val="0"/>
              <w:kinsoku/>
              <w:wordWrap/>
              <w:overflowPunct/>
              <w:topLinePunct w:val="0"/>
              <w:autoSpaceDE/>
              <w:autoSpaceDN/>
              <w:bidi w:val="0"/>
              <w:adjustRightInd/>
              <w:snapToGrid/>
              <w:spacing w:line="360" w:lineRule="auto"/>
              <w:ind w:firstLine="0"/>
              <w:jc w:val="center"/>
              <w:textAlignment w:val="auto"/>
              <w:rPr>
                <w:color w:val="auto"/>
                <w:sz w:val="24"/>
                <w:szCs w:val="24"/>
              </w:rPr>
            </w:pPr>
            <w:r>
              <w:rPr>
                <w:color w:val="auto"/>
                <w:sz w:val="24"/>
                <w:szCs w:val="24"/>
              </w:rPr>
              <w:t>（万元）</w:t>
            </w:r>
          </w:p>
        </w:tc>
        <w:tc>
          <w:tcPr>
            <w:tcW w:w="2268" w:type="dxa"/>
            <w:tcBorders>
              <w:top w:val="single" w:color="auto" w:sz="4" w:space="0"/>
              <w:left w:val="single" w:color="auto" w:sz="4" w:space="0"/>
              <w:right w:val="single" w:color="auto" w:sz="4" w:space="0"/>
            </w:tcBorders>
            <w:shd w:val="clear" w:color="auto" w:fill="FFFFFF"/>
            <w:vAlign w:val="center"/>
          </w:tcPr>
          <w:p w14:paraId="431CB5D0">
            <w:pPr>
              <w:pStyle w:val="7"/>
              <w:pageBreakBefore w:val="0"/>
              <w:widowControl w:val="0"/>
              <w:kinsoku/>
              <w:wordWrap/>
              <w:overflowPunct/>
              <w:topLinePunct w:val="0"/>
              <w:autoSpaceDE/>
              <w:autoSpaceDN/>
              <w:bidi w:val="0"/>
              <w:adjustRightInd/>
              <w:snapToGrid/>
              <w:spacing w:line="360" w:lineRule="auto"/>
              <w:ind w:firstLine="0"/>
              <w:jc w:val="center"/>
              <w:textAlignment w:val="auto"/>
              <w:rPr>
                <w:color w:val="auto"/>
                <w:sz w:val="24"/>
                <w:szCs w:val="24"/>
              </w:rPr>
            </w:pPr>
            <w:r>
              <w:rPr>
                <w:color w:val="auto"/>
                <w:sz w:val="24"/>
                <w:szCs w:val="24"/>
              </w:rPr>
              <w:t>差额（万元）</w:t>
            </w:r>
          </w:p>
        </w:tc>
      </w:tr>
      <w:tr w14:paraId="16E32529">
        <w:tblPrEx>
          <w:tblCellMar>
            <w:top w:w="0" w:type="dxa"/>
            <w:left w:w="10" w:type="dxa"/>
            <w:bottom w:w="0" w:type="dxa"/>
            <w:right w:w="10" w:type="dxa"/>
          </w:tblCellMar>
        </w:tblPrEx>
        <w:trPr>
          <w:trHeight w:val="444" w:hRule="exact"/>
          <w:jc w:val="center"/>
        </w:trPr>
        <w:tc>
          <w:tcPr>
            <w:tcW w:w="2382" w:type="dxa"/>
            <w:tcBorders>
              <w:top w:val="single" w:color="auto" w:sz="4" w:space="0"/>
              <w:left w:val="single" w:color="auto" w:sz="4" w:space="0"/>
            </w:tcBorders>
            <w:shd w:val="clear" w:color="auto" w:fill="FFFFFF"/>
            <w:vAlign w:val="bottom"/>
          </w:tcPr>
          <w:p w14:paraId="7030207B">
            <w:pPr>
              <w:pStyle w:val="7"/>
              <w:pageBreakBefore w:val="0"/>
              <w:widowControl w:val="0"/>
              <w:kinsoku/>
              <w:wordWrap/>
              <w:overflowPunct/>
              <w:topLinePunct w:val="0"/>
              <w:autoSpaceDE/>
              <w:autoSpaceDN/>
              <w:bidi w:val="0"/>
              <w:adjustRightInd/>
              <w:snapToGrid/>
              <w:spacing w:line="360" w:lineRule="auto"/>
              <w:ind w:firstLine="0"/>
              <w:textAlignment w:val="auto"/>
              <w:rPr>
                <w:color w:val="auto"/>
                <w:sz w:val="24"/>
                <w:szCs w:val="24"/>
              </w:rPr>
            </w:pPr>
            <w:r>
              <w:rPr>
                <w:color w:val="auto"/>
                <w:sz w:val="24"/>
                <w:szCs w:val="24"/>
              </w:rPr>
              <w:t>工资福利支出</w:t>
            </w:r>
          </w:p>
        </w:tc>
        <w:tc>
          <w:tcPr>
            <w:tcW w:w="2268" w:type="dxa"/>
            <w:tcBorders>
              <w:top w:val="single" w:color="auto" w:sz="4" w:space="0"/>
              <w:left w:val="single" w:color="auto" w:sz="4" w:space="0"/>
            </w:tcBorders>
            <w:shd w:val="clear" w:color="auto" w:fill="FFFFFF"/>
            <w:vAlign w:val="bottom"/>
          </w:tcPr>
          <w:p w14:paraId="52D01B64">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color w:val="auto"/>
                <w:sz w:val="24"/>
                <w:szCs w:val="24"/>
                <w:lang w:val="en-US" w:eastAsia="zh-CN"/>
              </w:rPr>
            </w:pPr>
            <w:r>
              <w:rPr>
                <w:rFonts w:hint="eastAsia"/>
                <w:color w:val="auto"/>
                <w:sz w:val="24"/>
                <w:szCs w:val="24"/>
                <w:lang w:val="en-US" w:eastAsia="zh-CN"/>
              </w:rPr>
              <w:t>402.06</w:t>
            </w:r>
          </w:p>
        </w:tc>
        <w:tc>
          <w:tcPr>
            <w:tcW w:w="2268" w:type="dxa"/>
            <w:tcBorders>
              <w:top w:val="single" w:color="auto" w:sz="4" w:space="0"/>
              <w:left w:val="single" w:color="auto" w:sz="4" w:space="0"/>
            </w:tcBorders>
            <w:shd w:val="clear" w:color="auto" w:fill="FFFFFF"/>
            <w:vAlign w:val="bottom"/>
          </w:tcPr>
          <w:p w14:paraId="5D79DFBC">
            <w:pPr>
              <w:pStyle w:val="7"/>
              <w:pageBreakBefore w:val="0"/>
              <w:widowControl w:val="0"/>
              <w:kinsoku/>
              <w:wordWrap/>
              <w:overflowPunct/>
              <w:topLinePunct w:val="0"/>
              <w:autoSpaceDE/>
              <w:autoSpaceDN/>
              <w:bidi w:val="0"/>
              <w:adjustRightInd/>
              <w:snapToGrid/>
              <w:spacing w:line="360" w:lineRule="auto"/>
              <w:ind w:firstLine="280"/>
              <w:jc w:val="center"/>
              <w:textAlignment w:val="auto"/>
              <w:rPr>
                <w:rFonts w:hint="default" w:eastAsia="宋体"/>
                <w:color w:val="auto"/>
                <w:sz w:val="24"/>
                <w:szCs w:val="24"/>
                <w:lang w:val="en-US" w:eastAsia="zh-CN"/>
              </w:rPr>
            </w:pPr>
            <w:r>
              <w:rPr>
                <w:rFonts w:hint="eastAsia"/>
                <w:color w:val="auto"/>
                <w:sz w:val="24"/>
                <w:szCs w:val="24"/>
                <w:lang w:val="en-US" w:eastAsia="zh-CN"/>
              </w:rPr>
              <w:t>391.8</w:t>
            </w:r>
          </w:p>
        </w:tc>
        <w:tc>
          <w:tcPr>
            <w:tcW w:w="2268" w:type="dxa"/>
            <w:tcBorders>
              <w:top w:val="single" w:color="auto" w:sz="4" w:space="0"/>
              <w:left w:val="single" w:color="auto" w:sz="4" w:space="0"/>
              <w:right w:val="single" w:color="auto" w:sz="4" w:space="0"/>
            </w:tcBorders>
            <w:shd w:val="clear" w:color="auto" w:fill="FFFFFF"/>
            <w:vAlign w:val="bottom"/>
          </w:tcPr>
          <w:p w14:paraId="7E3FA78A">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color w:val="auto"/>
                <w:sz w:val="24"/>
                <w:szCs w:val="24"/>
                <w:lang w:val="en-US" w:eastAsia="zh-CN"/>
              </w:rPr>
            </w:pPr>
            <w:r>
              <w:rPr>
                <w:rFonts w:hint="eastAsia"/>
                <w:color w:val="auto"/>
                <w:sz w:val="24"/>
                <w:szCs w:val="24"/>
                <w:lang w:val="en-US" w:eastAsia="zh-CN"/>
              </w:rPr>
              <w:t>10.26</w:t>
            </w:r>
          </w:p>
        </w:tc>
      </w:tr>
      <w:tr w14:paraId="002D0B98">
        <w:tblPrEx>
          <w:tblCellMar>
            <w:top w:w="0" w:type="dxa"/>
            <w:left w:w="10" w:type="dxa"/>
            <w:bottom w:w="0" w:type="dxa"/>
            <w:right w:w="10" w:type="dxa"/>
          </w:tblCellMar>
        </w:tblPrEx>
        <w:trPr>
          <w:trHeight w:val="447" w:hRule="exact"/>
          <w:jc w:val="center"/>
        </w:trPr>
        <w:tc>
          <w:tcPr>
            <w:tcW w:w="2382" w:type="dxa"/>
            <w:tcBorders>
              <w:top w:val="single" w:color="auto" w:sz="4" w:space="0"/>
              <w:left w:val="single" w:color="auto" w:sz="4" w:space="0"/>
            </w:tcBorders>
            <w:shd w:val="clear" w:color="auto" w:fill="FFFFFF"/>
            <w:vAlign w:val="bottom"/>
          </w:tcPr>
          <w:p w14:paraId="7B916812">
            <w:pPr>
              <w:pStyle w:val="7"/>
              <w:pageBreakBefore w:val="0"/>
              <w:widowControl w:val="0"/>
              <w:kinsoku/>
              <w:wordWrap/>
              <w:overflowPunct/>
              <w:topLinePunct w:val="0"/>
              <w:autoSpaceDE/>
              <w:autoSpaceDN/>
              <w:bidi w:val="0"/>
              <w:adjustRightInd/>
              <w:snapToGrid/>
              <w:spacing w:line="360" w:lineRule="auto"/>
              <w:ind w:firstLine="0"/>
              <w:textAlignment w:val="auto"/>
              <w:rPr>
                <w:color w:val="auto"/>
                <w:sz w:val="24"/>
                <w:szCs w:val="24"/>
              </w:rPr>
            </w:pPr>
            <w:r>
              <w:rPr>
                <w:color w:val="auto"/>
                <w:sz w:val="24"/>
                <w:szCs w:val="24"/>
              </w:rPr>
              <w:t>商品和服务支出</w:t>
            </w:r>
          </w:p>
        </w:tc>
        <w:tc>
          <w:tcPr>
            <w:tcW w:w="2268" w:type="dxa"/>
            <w:tcBorders>
              <w:top w:val="single" w:color="auto" w:sz="4" w:space="0"/>
              <w:left w:val="single" w:color="auto" w:sz="4" w:space="0"/>
            </w:tcBorders>
            <w:shd w:val="clear" w:color="auto" w:fill="FFFFFF"/>
            <w:vAlign w:val="bottom"/>
          </w:tcPr>
          <w:p w14:paraId="385ECA14">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color w:val="auto"/>
                <w:sz w:val="24"/>
                <w:szCs w:val="24"/>
                <w:lang w:val="en-US" w:eastAsia="zh-CN"/>
              </w:rPr>
            </w:pPr>
            <w:r>
              <w:rPr>
                <w:rFonts w:hint="eastAsia"/>
                <w:color w:val="auto"/>
                <w:sz w:val="24"/>
                <w:szCs w:val="24"/>
                <w:lang w:val="en-US" w:eastAsia="zh-CN"/>
              </w:rPr>
              <w:t>24</w:t>
            </w:r>
          </w:p>
        </w:tc>
        <w:tc>
          <w:tcPr>
            <w:tcW w:w="2268" w:type="dxa"/>
            <w:tcBorders>
              <w:top w:val="single" w:color="auto" w:sz="4" w:space="0"/>
              <w:left w:val="single" w:color="auto" w:sz="4" w:space="0"/>
            </w:tcBorders>
            <w:shd w:val="clear" w:color="auto" w:fill="FFFFFF"/>
            <w:vAlign w:val="bottom"/>
          </w:tcPr>
          <w:p w14:paraId="218C1443">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eastAsia="宋体"/>
                <w:color w:val="auto"/>
                <w:sz w:val="24"/>
                <w:szCs w:val="24"/>
                <w:lang w:val="en-US" w:eastAsia="zh-CN"/>
              </w:rPr>
            </w:pPr>
            <w:r>
              <w:rPr>
                <w:rFonts w:hint="eastAsia"/>
                <w:color w:val="auto"/>
                <w:sz w:val="24"/>
                <w:szCs w:val="24"/>
                <w:lang w:val="en-US" w:eastAsia="zh-CN"/>
              </w:rPr>
              <w:t>13.5</w:t>
            </w:r>
          </w:p>
        </w:tc>
        <w:tc>
          <w:tcPr>
            <w:tcW w:w="2268" w:type="dxa"/>
            <w:tcBorders>
              <w:top w:val="single" w:color="auto" w:sz="4" w:space="0"/>
              <w:left w:val="single" w:color="auto" w:sz="4" w:space="0"/>
              <w:right w:val="single" w:color="auto" w:sz="4" w:space="0"/>
            </w:tcBorders>
            <w:shd w:val="clear" w:color="auto" w:fill="FFFFFF"/>
            <w:vAlign w:val="bottom"/>
          </w:tcPr>
          <w:p w14:paraId="3DF800A5">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color w:val="auto"/>
                <w:sz w:val="24"/>
                <w:szCs w:val="24"/>
                <w:lang w:val="en-US" w:eastAsia="zh-CN"/>
              </w:rPr>
            </w:pPr>
            <w:r>
              <w:rPr>
                <w:rFonts w:hint="eastAsia"/>
                <w:color w:val="auto"/>
                <w:sz w:val="24"/>
                <w:szCs w:val="24"/>
                <w:lang w:val="en-US" w:eastAsia="zh-CN"/>
              </w:rPr>
              <w:t>10.6</w:t>
            </w:r>
          </w:p>
        </w:tc>
      </w:tr>
      <w:tr w14:paraId="2478F763">
        <w:tblPrEx>
          <w:tblCellMar>
            <w:top w:w="0" w:type="dxa"/>
            <w:left w:w="10" w:type="dxa"/>
            <w:bottom w:w="0" w:type="dxa"/>
            <w:right w:w="10" w:type="dxa"/>
          </w:tblCellMar>
        </w:tblPrEx>
        <w:trPr>
          <w:trHeight w:val="467" w:hRule="exact"/>
          <w:jc w:val="center"/>
        </w:trPr>
        <w:tc>
          <w:tcPr>
            <w:tcW w:w="2382" w:type="dxa"/>
            <w:tcBorders>
              <w:top w:val="single" w:color="auto" w:sz="4" w:space="0"/>
              <w:left w:val="single" w:color="auto" w:sz="4" w:space="0"/>
            </w:tcBorders>
            <w:shd w:val="clear" w:color="auto" w:fill="FFFFFF"/>
            <w:vAlign w:val="bottom"/>
          </w:tcPr>
          <w:p w14:paraId="516D6C82">
            <w:pPr>
              <w:pStyle w:val="7"/>
              <w:pageBreakBefore w:val="0"/>
              <w:widowControl w:val="0"/>
              <w:kinsoku/>
              <w:wordWrap/>
              <w:overflowPunct/>
              <w:topLinePunct w:val="0"/>
              <w:autoSpaceDE/>
              <w:autoSpaceDN/>
              <w:bidi w:val="0"/>
              <w:adjustRightInd/>
              <w:snapToGrid/>
              <w:spacing w:line="360" w:lineRule="auto"/>
              <w:ind w:firstLine="0"/>
              <w:textAlignment w:val="auto"/>
              <w:rPr>
                <w:color w:val="auto"/>
                <w:sz w:val="24"/>
                <w:szCs w:val="24"/>
              </w:rPr>
            </w:pPr>
            <w:r>
              <w:rPr>
                <w:color w:val="auto"/>
                <w:sz w:val="24"/>
                <w:szCs w:val="24"/>
              </w:rPr>
              <w:t>对个人和家庭的补助</w:t>
            </w:r>
          </w:p>
        </w:tc>
        <w:tc>
          <w:tcPr>
            <w:tcW w:w="2268" w:type="dxa"/>
            <w:tcBorders>
              <w:top w:val="single" w:color="auto" w:sz="4" w:space="0"/>
              <w:left w:val="single" w:color="auto" w:sz="4" w:space="0"/>
            </w:tcBorders>
            <w:shd w:val="clear" w:color="auto" w:fill="FFFFFF"/>
            <w:vAlign w:val="bottom"/>
          </w:tcPr>
          <w:p w14:paraId="00498C50">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color w:val="auto"/>
                <w:sz w:val="24"/>
                <w:szCs w:val="24"/>
                <w:lang w:val="en-US" w:eastAsia="zh-CN"/>
              </w:rPr>
            </w:pPr>
            <w:r>
              <w:rPr>
                <w:rFonts w:hint="eastAsia"/>
                <w:color w:val="auto"/>
                <w:sz w:val="24"/>
                <w:szCs w:val="24"/>
                <w:lang w:val="en-US" w:eastAsia="zh-CN"/>
              </w:rPr>
              <w:t>67</w:t>
            </w:r>
          </w:p>
        </w:tc>
        <w:tc>
          <w:tcPr>
            <w:tcW w:w="2268" w:type="dxa"/>
            <w:tcBorders>
              <w:top w:val="single" w:color="auto" w:sz="4" w:space="0"/>
              <w:left w:val="single" w:color="auto" w:sz="4" w:space="0"/>
            </w:tcBorders>
            <w:shd w:val="clear" w:color="auto" w:fill="FFFFFF"/>
            <w:vAlign w:val="bottom"/>
          </w:tcPr>
          <w:p w14:paraId="5390669A">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eastAsia="宋体"/>
                <w:color w:val="auto"/>
                <w:sz w:val="24"/>
                <w:szCs w:val="24"/>
                <w:lang w:val="en-US" w:eastAsia="zh-CN"/>
              </w:rPr>
            </w:pPr>
            <w:r>
              <w:rPr>
                <w:rFonts w:hint="eastAsia"/>
                <w:color w:val="auto"/>
                <w:sz w:val="24"/>
                <w:szCs w:val="24"/>
                <w:lang w:val="en-US" w:eastAsia="zh-CN"/>
              </w:rPr>
              <w:t>108</w:t>
            </w:r>
          </w:p>
        </w:tc>
        <w:tc>
          <w:tcPr>
            <w:tcW w:w="2268" w:type="dxa"/>
            <w:tcBorders>
              <w:top w:val="single" w:color="auto" w:sz="4" w:space="0"/>
              <w:left w:val="single" w:color="auto" w:sz="4" w:space="0"/>
              <w:right w:val="single" w:color="auto" w:sz="4" w:space="0"/>
            </w:tcBorders>
            <w:shd w:val="clear" w:color="auto" w:fill="FFFFFF"/>
            <w:vAlign w:val="bottom"/>
          </w:tcPr>
          <w:p w14:paraId="49538BD7">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color w:val="auto"/>
                <w:sz w:val="24"/>
                <w:szCs w:val="24"/>
                <w:lang w:val="en-US" w:eastAsia="zh-CN"/>
              </w:rPr>
            </w:pPr>
            <w:r>
              <w:rPr>
                <w:rFonts w:hint="eastAsia"/>
                <w:color w:val="auto"/>
                <w:sz w:val="24"/>
                <w:szCs w:val="24"/>
                <w:lang w:val="en-US" w:eastAsia="zh-CN"/>
              </w:rPr>
              <w:t>-41</w:t>
            </w:r>
          </w:p>
        </w:tc>
      </w:tr>
      <w:tr w14:paraId="2F8B9961">
        <w:tblPrEx>
          <w:tblCellMar>
            <w:top w:w="0" w:type="dxa"/>
            <w:left w:w="10" w:type="dxa"/>
            <w:bottom w:w="0" w:type="dxa"/>
            <w:right w:w="10" w:type="dxa"/>
          </w:tblCellMar>
        </w:tblPrEx>
        <w:trPr>
          <w:trHeight w:val="331" w:hRule="exact"/>
          <w:jc w:val="center"/>
        </w:trPr>
        <w:tc>
          <w:tcPr>
            <w:tcW w:w="2382" w:type="dxa"/>
            <w:tcBorders>
              <w:top w:val="single" w:color="auto" w:sz="4" w:space="0"/>
              <w:left w:val="single" w:color="auto" w:sz="4" w:space="0"/>
              <w:bottom w:val="single" w:color="auto" w:sz="4" w:space="0"/>
            </w:tcBorders>
            <w:shd w:val="clear" w:color="auto" w:fill="FFFFFF"/>
            <w:vAlign w:val="bottom"/>
          </w:tcPr>
          <w:p w14:paraId="383C1022">
            <w:pPr>
              <w:pStyle w:val="7"/>
              <w:pageBreakBefore w:val="0"/>
              <w:widowControl w:val="0"/>
              <w:kinsoku/>
              <w:wordWrap/>
              <w:overflowPunct/>
              <w:topLinePunct w:val="0"/>
              <w:autoSpaceDE/>
              <w:autoSpaceDN/>
              <w:bidi w:val="0"/>
              <w:adjustRightInd/>
              <w:snapToGrid/>
              <w:spacing w:line="360" w:lineRule="auto"/>
              <w:ind w:firstLine="0"/>
              <w:jc w:val="center"/>
              <w:textAlignment w:val="auto"/>
              <w:rPr>
                <w:color w:val="auto"/>
                <w:sz w:val="24"/>
                <w:szCs w:val="24"/>
              </w:rPr>
            </w:pPr>
            <w:r>
              <w:rPr>
                <w:color w:val="auto"/>
                <w:sz w:val="24"/>
                <w:szCs w:val="24"/>
              </w:rPr>
              <w:t>合计</w:t>
            </w:r>
          </w:p>
        </w:tc>
        <w:tc>
          <w:tcPr>
            <w:tcW w:w="2268" w:type="dxa"/>
            <w:tcBorders>
              <w:top w:val="single" w:color="auto" w:sz="4" w:space="0"/>
              <w:left w:val="single" w:color="auto" w:sz="4" w:space="0"/>
              <w:bottom w:val="single" w:color="auto" w:sz="4" w:space="0"/>
            </w:tcBorders>
            <w:shd w:val="clear" w:color="auto" w:fill="FFFFFF"/>
            <w:vAlign w:val="bottom"/>
          </w:tcPr>
          <w:p w14:paraId="5430DEB5">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eastAsia="宋体"/>
                <w:color w:val="auto"/>
                <w:sz w:val="24"/>
                <w:szCs w:val="24"/>
                <w:lang w:val="en-US" w:eastAsia="zh-CN"/>
              </w:rPr>
            </w:pPr>
            <w:r>
              <w:rPr>
                <w:rFonts w:hint="eastAsia"/>
                <w:color w:val="auto"/>
                <w:sz w:val="24"/>
                <w:szCs w:val="24"/>
                <w:lang w:val="en-US" w:eastAsia="zh-CN"/>
              </w:rPr>
              <w:t>493.06</w:t>
            </w:r>
          </w:p>
        </w:tc>
        <w:tc>
          <w:tcPr>
            <w:tcW w:w="2268" w:type="dxa"/>
            <w:tcBorders>
              <w:top w:val="single" w:color="auto" w:sz="4" w:space="0"/>
              <w:left w:val="single" w:color="auto" w:sz="4" w:space="0"/>
              <w:bottom w:val="single" w:color="auto" w:sz="4" w:space="0"/>
            </w:tcBorders>
            <w:shd w:val="clear" w:color="auto" w:fill="FFFFFF"/>
            <w:vAlign w:val="bottom"/>
          </w:tcPr>
          <w:p w14:paraId="204F4429">
            <w:pPr>
              <w:pStyle w:val="7"/>
              <w:pageBreakBefore w:val="0"/>
              <w:widowControl w:val="0"/>
              <w:kinsoku/>
              <w:wordWrap/>
              <w:overflowPunct/>
              <w:topLinePunct w:val="0"/>
              <w:autoSpaceDE/>
              <w:autoSpaceDN/>
              <w:bidi w:val="0"/>
              <w:adjustRightInd/>
              <w:snapToGrid/>
              <w:spacing w:line="360" w:lineRule="auto"/>
              <w:ind w:firstLine="280"/>
              <w:jc w:val="center"/>
              <w:textAlignment w:val="auto"/>
              <w:rPr>
                <w:rFonts w:hint="default" w:eastAsia="宋体"/>
                <w:color w:val="auto"/>
                <w:sz w:val="24"/>
                <w:szCs w:val="24"/>
                <w:lang w:val="en-US" w:eastAsia="zh-CN"/>
              </w:rPr>
            </w:pPr>
            <w:r>
              <w:rPr>
                <w:rFonts w:hint="eastAsia"/>
                <w:color w:val="auto"/>
                <w:sz w:val="24"/>
                <w:szCs w:val="24"/>
                <w:lang w:val="en-US" w:eastAsia="zh-CN"/>
              </w:rPr>
              <w:t>513.3</w:t>
            </w:r>
          </w:p>
        </w:tc>
        <w:tc>
          <w:tcPr>
            <w:tcW w:w="2268" w:type="dxa"/>
            <w:tcBorders>
              <w:top w:val="single" w:color="auto" w:sz="4" w:space="0"/>
              <w:left w:val="single" w:color="auto" w:sz="4" w:space="0"/>
              <w:bottom w:val="single" w:color="auto" w:sz="4" w:space="0"/>
              <w:right w:val="single" w:color="auto" w:sz="4" w:space="0"/>
            </w:tcBorders>
            <w:shd w:val="clear" w:color="auto" w:fill="FFFFFF"/>
            <w:vAlign w:val="bottom"/>
          </w:tcPr>
          <w:p w14:paraId="11F83A71">
            <w:pPr>
              <w:pStyle w:val="7"/>
              <w:pageBreakBefore w:val="0"/>
              <w:widowControl w:val="0"/>
              <w:kinsoku/>
              <w:wordWrap/>
              <w:overflowPunct/>
              <w:topLinePunct w:val="0"/>
              <w:autoSpaceDE/>
              <w:autoSpaceDN/>
              <w:bidi w:val="0"/>
              <w:adjustRightInd/>
              <w:snapToGrid/>
              <w:spacing w:line="360" w:lineRule="auto"/>
              <w:ind w:firstLine="0"/>
              <w:jc w:val="center"/>
              <w:textAlignment w:val="auto"/>
              <w:rPr>
                <w:rFonts w:hint="default"/>
                <w:color w:val="auto"/>
                <w:sz w:val="24"/>
                <w:szCs w:val="24"/>
                <w:lang w:val="en-US" w:eastAsia="zh-CN"/>
              </w:rPr>
            </w:pPr>
            <w:r>
              <w:rPr>
                <w:rFonts w:hint="eastAsia"/>
                <w:color w:val="auto"/>
                <w:sz w:val="24"/>
                <w:szCs w:val="24"/>
                <w:lang w:val="en-US" w:eastAsia="zh-CN"/>
              </w:rPr>
              <w:t>-20.24</w:t>
            </w:r>
          </w:p>
        </w:tc>
      </w:tr>
    </w:tbl>
    <w:p w14:paraId="5D4F7450">
      <w:pPr>
        <w:pStyle w:val="6"/>
        <w:pageBreakBefore w:val="0"/>
        <w:widowControl w:val="0"/>
        <w:kinsoku/>
        <w:wordWrap/>
        <w:overflowPunct/>
        <w:topLinePunct w:val="0"/>
        <w:autoSpaceDE/>
        <w:autoSpaceDN/>
        <w:bidi w:val="0"/>
        <w:adjustRightInd/>
        <w:snapToGrid/>
        <w:spacing w:line="360" w:lineRule="auto"/>
        <w:jc w:val="both"/>
        <w:textAlignment w:val="auto"/>
        <w:rPr>
          <w:rFonts w:asciiTheme="minorEastAsia" w:hAnsiTheme="minorEastAsia" w:eastAsiaTheme="minorEastAsia" w:cstheme="minorEastAsia"/>
          <w:color w:val="auto"/>
          <w:sz w:val="24"/>
          <w:szCs w:val="24"/>
        </w:rPr>
      </w:pPr>
      <w:r>
        <w:rPr>
          <w:rFonts w:asciiTheme="minorEastAsia" w:hAnsiTheme="minorEastAsia" w:eastAsiaTheme="minorEastAsia" w:cstheme="minorEastAsia"/>
          <w:color w:val="auto"/>
          <w:sz w:val="24"/>
          <w:szCs w:val="24"/>
        </w:rPr>
        <w:t>从上表反映，本单位基本支出预算超支</w:t>
      </w:r>
      <w:r>
        <w:rPr>
          <w:rFonts w:hint="eastAsia"/>
          <w:color w:val="auto"/>
          <w:sz w:val="24"/>
          <w:szCs w:val="24"/>
          <w:lang w:val="en-US" w:eastAsia="zh-CN"/>
        </w:rPr>
        <w:t>20.24</w:t>
      </w:r>
      <w:r>
        <w:rPr>
          <w:rFonts w:asciiTheme="minorEastAsia" w:hAnsiTheme="minorEastAsia" w:eastAsiaTheme="minorEastAsia" w:cstheme="minorEastAsia"/>
          <w:color w:val="auto"/>
          <w:sz w:val="24"/>
          <w:szCs w:val="24"/>
        </w:rPr>
        <w:t>万元，其中：对个人和家庭的补助超支</w:t>
      </w:r>
      <w:r>
        <w:rPr>
          <w:rFonts w:hint="eastAsia"/>
          <w:color w:val="auto"/>
          <w:sz w:val="24"/>
          <w:szCs w:val="24"/>
          <w:lang w:val="en-US" w:eastAsia="zh-CN"/>
        </w:rPr>
        <w:t>41</w:t>
      </w:r>
      <w:r>
        <w:rPr>
          <w:rFonts w:asciiTheme="minorEastAsia" w:hAnsiTheme="minorEastAsia" w:eastAsiaTheme="minorEastAsia" w:cstheme="minorEastAsia"/>
          <w:color w:val="auto"/>
          <w:sz w:val="24"/>
          <w:szCs w:val="24"/>
        </w:rPr>
        <w:t>万元</w:t>
      </w:r>
      <w:r>
        <w:rPr>
          <w:rFonts w:hint="eastAsia" w:asciiTheme="minorEastAsia" w:hAnsiTheme="minorEastAsia" w:eastAsiaTheme="minorEastAsia" w:cstheme="minorEastAsia"/>
          <w:color w:val="auto"/>
          <w:sz w:val="24"/>
          <w:szCs w:val="24"/>
          <w:lang w:eastAsia="zh-CN"/>
        </w:rPr>
        <w:t>，主要是增加住房补贴支出</w:t>
      </w:r>
      <w:r>
        <w:rPr>
          <w:rFonts w:asciiTheme="minorEastAsia" w:hAnsiTheme="minorEastAsia" w:eastAsiaTheme="minorEastAsia" w:cstheme="minorEastAsia"/>
          <w:color w:val="auto"/>
          <w:sz w:val="24"/>
          <w:szCs w:val="24"/>
        </w:rPr>
        <w:t>。</w:t>
      </w:r>
    </w:p>
    <w:p w14:paraId="37BB452D">
      <w:pPr>
        <w:pStyle w:val="5"/>
        <w:pageBreakBefore w:val="0"/>
        <w:widowControl w:val="0"/>
        <w:kinsoku/>
        <w:wordWrap/>
        <w:overflowPunct/>
        <w:topLinePunct w:val="0"/>
        <w:autoSpaceDE/>
        <w:autoSpaceDN/>
        <w:bidi w:val="0"/>
        <w:adjustRightInd/>
        <w:snapToGrid/>
        <w:spacing w:line="360" w:lineRule="auto"/>
        <w:ind w:firstLine="560"/>
        <w:jc w:val="both"/>
        <w:textAlignment w:val="auto"/>
        <w:rPr>
          <w:color w:val="auto"/>
          <w:sz w:val="24"/>
          <w:szCs w:val="24"/>
        </w:rPr>
      </w:pPr>
      <w:r>
        <w:rPr>
          <w:color w:val="auto"/>
          <w:sz w:val="24"/>
          <w:szCs w:val="24"/>
          <w:lang w:val="en-US" w:eastAsia="zh-CN" w:bidi="en-US"/>
        </w:rPr>
        <w:t>（</w:t>
      </w:r>
      <w:r>
        <w:rPr>
          <w:rFonts w:hint="eastAsia"/>
          <w:color w:val="auto"/>
          <w:sz w:val="24"/>
          <w:szCs w:val="24"/>
          <w:lang w:val="en-US" w:eastAsia="zh-CN" w:bidi="en-US"/>
        </w:rPr>
        <w:t>二</w:t>
      </w:r>
      <w:r>
        <w:rPr>
          <w:color w:val="auto"/>
          <w:sz w:val="24"/>
          <w:szCs w:val="24"/>
          <w:lang w:val="en-US" w:eastAsia="zh-CN" w:bidi="en-US"/>
        </w:rPr>
        <w:t>）</w:t>
      </w:r>
      <w:r>
        <w:rPr>
          <w:color w:val="auto"/>
          <w:sz w:val="24"/>
          <w:szCs w:val="24"/>
        </w:rPr>
        <w:t>项目</w:t>
      </w:r>
      <w:r>
        <w:rPr>
          <w:rFonts w:hint="eastAsia"/>
          <w:color w:val="auto"/>
          <w:sz w:val="24"/>
          <w:szCs w:val="24"/>
          <w:lang w:eastAsia="zh-CN"/>
        </w:rPr>
        <w:t>支出</w:t>
      </w:r>
      <w:r>
        <w:rPr>
          <w:color w:val="auto"/>
          <w:sz w:val="24"/>
          <w:szCs w:val="24"/>
        </w:rPr>
        <w:t>情况</w:t>
      </w:r>
    </w:p>
    <w:p w14:paraId="1882CD45">
      <w:pPr>
        <w:pStyle w:val="5"/>
        <w:pageBreakBefore w:val="0"/>
        <w:widowControl w:val="0"/>
        <w:tabs>
          <w:tab w:val="left" w:pos="744"/>
        </w:tabs>
        <w:kinsoku/>
        <w:wordWrap/>
        <w:overflowPunct/>
        <w:topLinePunct w:val="0"/>
        <w:autoSpaceDE/>
        <w:autoSpaceDN/>
        <w:bidi w:val="0"/>
        <w:adjustRightInd/>
        <w:snapToGrid/>
        <w:spacing w:line="360" w:lineRule="auto"/>
        <w:ind w:firstLine="400"/>
        <w:jc w:val="both"/>
        <w:textAlignment w:val="auto"/>
        <w:rPr>
          <w:rFonts w:asciiTheme="minorEastAsia" w:hAnsiTheme="minorEastAsia" w:eastAsiaTheme="minorEastAsia" w:cstheme="minorEastAsia"/>
          <w:color w:val="auto"/>
          <w:sz w:val="24"/>
          <w:szCs w:val="24"/>
        </w:rPr>
      </w:pPr>
      <w:bookmarkStart w:id="17" w:name="bookmark17"/>
      <w:r>
        <w:rPr>
          <w:rFonts w:hint="eastAsia" w:asciiTheme="minorEastAsia" w:hAnsiTheme="minorEastAsia" w:eastAsiaTheme="minorEastAsia" w:cstheme="minorEastAsia"/>
          <w:color w:val="auto"/>
          <w:sz w:val="24"/>
          <w:szCs w:val="24"/>
        </w:rPr>
        <w:t>1</w:t>
      </w:r>
      <w:bookmarkEnd w:id="17"/>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rPr>
        <w:tab/>
      </w:r>
      <w:r>
        <w:rPr>
          <w:rFonts w:hint="eastAsia" w:asciiTheme="minorEastAsia" w:hAnsiTheme="minorEastAsia" w:eastAsiaTheme="minorEastAsia" w:cstheme="minorEastAsia"/>
          <w:color w:val="auto"/>
          <w:sz w:val="24"/>
          <w:szCs w:val="24"/>
        </w:rPr>
        <w:t>项目支出使用情况</w:t>
      </w:r>
    </w:p>
    <w:p w14:paraId="34AE891F">
      <w:pPr>
        <w:pStyle w:val="6"/>
        <w:pageBreakBefore w:val="0"/>
        <w:widowControl w:val="0"/>
        <w:kinsoku/>
        <w:wordWrap/>
        <w:overflowPunct/>
        <w:topLinePunct w:val="0"/>
        <w:autoSpaceDE/>
        <w:autoSpaceDN/>
        <w:bidi w:val="0"/>
        <w:adjustRightInd/>
        <w:snapToGrid/>
        <w:spacing w:line="360" w:lineRule="auto"/>
        <w:jc w:val="both"/>
        <w:textAlignment w:val="auto"/>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项目支出指为完成特定行政工作而发生的支出，包括公共专项支出和部门专项支出。</w:t>
      </w:r>
    </w:p>
    <w:p w14:paraId="5374826F">
      <w:pPr>
        <w:pStyle w:val="6"/>
        <w:pageBreakBefore w:val="0"/>
        <w:widowControl w:val="0"/>
        <w:kinsoku/>
        <w:wordWrap/>
        <w:overflowPunct/>
        <w:topLinePunct w:val="0"/>
        <w:autoSpaceDE/>
        <w:autoSpaceDN/>
        <w:bidi w:val="0"/>
        <w:adjustRightInd/>
        <w:snapToGrid/>
        <w:spacing w:line="360" w:lineRule="auto"/>
        <w:ind w:firstLine="440"/>
        <w:jc w:val="both"/>
        <w:textAlignment w:val="auto"/>
        <w:rPr>
          <w:color w:val="auto"/>
          <w:sz w:val="24"/>
          <w:szCs w:val="24"/>
        </w:rPr>
      </w:pPr>
      <w:r>
        <w:rPr>
          <w:rFonts w:hint="eastAsia" w:asciiTheme="minorEastAsia" w:hAnsiTheme="minorEastAsia" w:eastAsiaTheme="minorEastAsia" w:cstheme="minorEastAsia"/>
          <w:color w:val="auto"/>
          <w:sz w:val="24"/>
          <w:szCs w:val="24"/>
        </w:rPr>
        <w:t>项目支出年初预算数为</w:t>
      </w:r>
      <w:r>
        <w:rPr>
          <w:rFonts w:hint="eastAsia" w:asciiTheme="minorEastAsia" w:hAnsiTheme="minorEastAsia" w:eastAsiaTheme="minorEastAsia" w:cstheme="minorEastAsia"/>
          <w:color w:val="auto"/>
          <w:sz w:val="24"/>
          <w:szCs w:val="24"/>
          <w:lang w:val="en-US" w:eastAsia="zh-CN" w:bidi="en-US"/>
        </w:rPr>
        <w:t>153.</w:t>
      </w:r>
      <w:r>
        <w:rPr>
          <w:rFonts w:hint="eastAsia" w:asciiTheme="minorEastAsia" w:hAnsiTheme="minorEastAsia" w:eastAsiaTheme="minorEastAsia" w:cstheme="minorEastAsia"/>
          <w:color w:val="auto"/>
          <w:sz w:val="24"/>
          <w:szCs w:val="24"/>
        </w:rPr>
        <w:t>00万元，决算数为</w:t>
      </w:r>
      <w:r>
        <w:rPr>
          <w:rFonts w:hint="eastAsia" w:asciiTheme="minorEastAsia" w:hAnsiTheme="minorEastAsia" w:eastAsiaTheme="minorEastAsia" w:cstheme="minorEastAsia"/>
          <w:color w:val="auto"/>
          <w:sz w:val="24"/>
          <w:szCs w:val="24"/>
          <w:lang w:val="en-US" w:eastAsia="zh-CN" w:bidi="en-US"/>
        </w:rPr>
        <w:t>152.9</w:t>
      </w:r>
      <w:r>
        <w:rPr>
          <w:rFonts w:hint="eastAsia" w:asciiTheme="minorEastAsia" w:hAnsiTheme="minorEastAsia" w:eastAsiaTheme="minorEastAsia" w:cstheme="minorEastAsia"/>
          <w:color w:val="auto"/>
          <w:sz w:val="24"/>
          <w:szCs w:val="24"/>
        </w:rPr>
        <w:t>万元，本单位无公共专项，全部为部门专项支出，其中：</w:t>
      </w:r>
      <w:r>
        <w:rPr>
          <w:rFonts w:hint="eastAsia" w:asciiTheme="minorEastAsia" w:hAnsiTheme="minorEastAsia" w:eastAsiaTheme="minorEastAsia" w:cstheme="minorEastAsia"/>
          <w:color w:val="auto"/>
          <w:sz w:val="24"/>
          <w:szCs w:val="24"/>
          <w:lang w:eastAsia="zh-CN"/>
        </w:rPr>
        <w:t>办公经费</w:t>
      </w:r>
      <w:r>
        <w:rPr>
          <w:rFonts w:hint="eastAsia" w:asciiTheme="minorEastAsia" w:hAnsiTheme="minorEastAsia" w:eastAsiaTheme="minorEastAsia" w:cstheme="minorEastAsia"/>
          <w:color w:val="auto"/>
          <w:sz w:val="24"/>
          <w:szCs w:val="24"/>
          <w:lang w:val="en-US" w:eastAsia="zh-CN"/>
        </w:rPr>
        <w:t>11.9</w:t>
      </w:r>
      <w:r>
        <w:rPr>
          <w:color w:val="auto"/>
          <w:sz w:val="24"/>
          <w:szCs w:val="24"/>
        </w:rPr>
        <w:t>万元、</w:t>
      </w:r>
      <w:r>
        <w:rPr>
          <w:rFonts w:hint="eastAsia"/>
          <w:color w:val="auto"/>
          <w:sz w:val="24"/>
          <w:szCs w:val="24"/>
          <w:lang w:eastAsia="zh-CN"/>
        </w:rPr>
        <w:t>培训费</w:t>
      </w:r>
      <w:r>
        <w:rPr>
          <w:rFonts w:hint="eastAsia"/>
          <w:color w:val="auto"/>
          <w:sz w:val="24"/>
          <w:szCs w:val="24"/>
          <w:lang w:val="en-US" w:eastAsia="zh-CN"/>
        </w:rPr>
        <w:t>25.00</w:t>
      </w:r>
      <w:r>
        <w:rPr>
          <w:color w:val="auto"/>
          <w:sz w:val="24"/>
          <w:szCs w:val="24"/>
        </w:rPr>
        <w:t>万元、</w:t>
      </w:r>
      <w:r>
        <w:rPr>
          <w:rFonts w:hint="eastAsia"/>
          <w:color w:val="auto"/>
          <w:sz w:val="24"/>
          <w:szCs w:val="24"/>
          <w:lang w:eastAsia="zh-CN"/>
        </w:rPr>
        <w:t>委托业务费</w:t>
      </w:r>
      <w:r>
        <w:rPr>
          <w:rFonts w:hint="eastAsia"/>
          <w:color w:val="auto"/>
          <w:sz w:val="24"/>
          <w:szCs w:val="24"/>
          <w:lang w:val="en-US" w:eastAsia="zh-CN"/>
        </w:rPr>
        <w:t>26.00</w:t>
      </w:r>
      <w:r>
        <w:rPr>
          <w:color w:val="auto"/>
          <w:sz w:val="24"/>
          <w:szCs w:val="24"/>
        </w:rPr>
        <w:t>万元</w:t>
      </w:r>
      <w:r>
        <w:rPr>
          <w:rFonts w:hint="eastAsia"/>
          <w:color w:val="auto"/>
          <w:sz w:val="24"/>
          <w:szCs w:val="24"/>
          <w:lang w:eastAsia="zh-CN"/>
        </w:rPr>
        <w:t>、其他商品和服务支出</w:t>
      </w:r>
      <w:r>
        <w:rPr>
          <w:rFonts w:hint="eastAsia"/>
          <w:color w:val="auto"/>
          <w:sz w:val="24"/>
          <w:szCs w:val="24"/>
          <w:lang w:val="en-US" w:eastAsia="zh-CN"/>
        </w:rPr>
        <w:t>1.3万元、其他对企业补助6万元、会议费3.32万元、对个人和家庭补助79.38万元</w:t>
      </w:r>
      <w:r>
        <w:rPr>
          <w:color w:val="auto"/>
          <w:sz w:val="24"/>
          <w:szCs w:val="24"/>
        </w:rPr>
        <w:t>。</w:t>
      </w:r>
    </w:p>
    <w:p w14:paraId="1A113685">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bookmarkStart w:id="18" w:name="bookmark18"/>
      <w:r>
        <w:rPr>
          <w:color w:val="auto"/>
          <w:sz w:val="24"/>
          <w:szCs w:val="24"/>
        </w:rPr>
        <w:t>2</w:t>
      </w:r>
      <w:bookmarkEnd w:id="18"/>
      <w:r>
        <w:rPr>
          <w:color w:val="auto"/>
          <w:sz w:val="24"/>
          <w:szCs w:val="24"/>
        </w:rPr>
        <w:t>、项目支出预算执行情况</w:t>
      </w:r>
    </w:p>
    <w:p w14:paraId="0E01CF26">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本单位项目支出无预算超支。</w:t>
      </w:r>
    </w:p>
    <w:p w14:paraId="4B6DF52B">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bookmarkStart w:id="19" w:name="bookmark19"/>
      <w:r>
        <w:rPr>
          <w:color w:val="auto"/>
          <w:sz w:val="24"/>
          <w:szCs w:val="24"/>
        </w:rPr>
        <w:t>3</w:t>
      </w:r>
      <w:bookmarkEnd w:id="19"/>
      <w:r>
        <w:rPr>
          <w:color w:val="auto"/>
          <w:sz w:val="24"/>
          <w:szCs w:val="24"/>
        </w:rPr>
        <w:t>、项目资金管理情况分析</w:t>
      </w:r>
    </w:p>
    <w:p w14:paraId="34D4221D">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bookmarkStart w:id="20" w:name="bookmark20"/>
      <w:bookmarkEnd w:id="20"/>
      <w:r>
        <w:rPr>
          <w:color w:val="auto"/>
          <w:sz w:val="24"/>
          <w:szCs w:val="24"/>
        </w:rPr>
        <w:t>科学合理安排项目资金。及早谋划，紧紧围绕我市非公经济重点工作， 严把项目审查关，本着“量入为出、统筹安排、保证重点、注重绩效”的原则，认真组织项目前期申报及论证工作。</w:t>
      </w:r>
    </w:p>
    <w:p w14:paraId="445C714C">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bookmarkStart w:id="21" w:name="bookmark21"/>
      <w:bookmarkEnd w:id="21"/>
      <w:r>
        <w:rPr>
          <w:color w:val="auto"/>
          <w:sz w:val="24"/>
          <w:szCs w:val="24"/>
        </w:rPr>
        <w:t>加强项目资金的监管。加强项目实施进度跟踪监管，定期调度，掌握项目进展情况，及时发现并积极解决存在的问题，加快项目实施进度，严格项目实施质量，不断提高资金的使用效益。</w:t>
      </w:r>
    </w:p>
    <w:p w14:paraId="675D479B">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bookmarkStart w:id="22" w:name="bookmark22"/>
      <w:bookmarkEnd w:id="22"/>
      <w:r>
        <w:rPr>
          <w:color w:val="auto"/>
          <w:sz w:val="24"/>
          <w:szCs w:val="24"/>
        </w:rPr>
        <w:t>规范资金使用，严格项目验收。严格落实各项要求，对属于政府</w:t>
      </w:r>
      <w:r>
        <w:rPr>
          <w:rFonts w:hint="eastAsia"/>
          <w:color w:val="auto"/>
          <w:sz w:val="24"/>
          <w:szCs w:val="24"/>
        </w:rPr>
        <w:t>采</w:t>
      </w:r>
      <w:r>
        <w:rPr>
          <w:color w:val="auto"/>
          <w:sz w:val="24"/>
          <w:szCs w:val="24"/>
        </w:rPr>
        <w:t>购范围的项目，按照财政部门要求编制政府</w:t>
      </w:r>
      <w:r>
        <w:rPr>
          <w:rFonts w:hint="eastAsia"/>
          <w:color w:val="auto"/>
          <w:sz w:val="24"/>
          <w:szCs w:val="24"/>
        </w:rPr>
        <w:t>采</w:t>
      </w:r>
      <w:r>
        <w:rPr>
          <w:color w:val="auto"/>
          <w:sz w:val="24"/>
          <w:szCs w:val="24"/>
        </w:rPr>
        <w:t>购计划，实行政府</w:t>
      </w:r>
      <w:r>
        <w:rPr>
          <w:rFonts w:hint="eastAsia"/>
          <w:color w:val="auto"/>
          <w:sz w:val="24"/>
          <w:szCs w:val="24"/>
        </w:rPr>
        <w:t>采</w:t>
      </w:r>
      <w:r>
        <w:rPr>
          <w:color w:val="auto"/>
          <w:sz w:val="24"/>
          <w:szCs w:val="24"/>
        </w:rPr>
        <w:t>购，确保专款专用。严格按照相关的验收管理办法，项目验收合格后方可办理资金支付手续，确保财政资金安全及使用效益。</w:t>
      </w:r>
    </w:p>
    <w:p w14:paraId="1D7DD43B">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bookmarkStart w:id="23" w:name="bookmark23"/>
      <w:r>
        <w:rPr>
          <w:color w:val="auto"/>
          <w:sz w:val="24"/>
          <w:szCs w:val="24"/>
        </w:rPr>
        <w:t>4</w:t>
      </w:r>
      <w:bookmarkEnd w:id="23"/>
      <w:r>
        <w:rPr>
          <w:color w:val="auto"/>
          <w:sz w:val="24"/>
          <w:szCs w:val="24"/>
        </w:rPr>
        <w:t>、</w:t>
      </w:r>
      <w:r>
        <w:rPr>
          <w:color w:val="auto"/>
          <w:sz w:val="24"/>
          <w:szCs w:val="24"/>
        </w:rPr>
        <w:tab/>
      </w:r>
      <w:r>
        <w:rPr>
          <w:color w:val="auto"/>
          <w:sz w:val="24"/>
          <w:szCs w:val="24"/>
        </w:rPr>
        <w:t>资产管理情况</w:t>
      </w:r>
    </w:p>
    <w:p w14:paraId="0E8257B6">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本单位固定资产管理按照“统一领导，归口管理”的办法实行，固定资产的</w:t>
      </w:r>
      <w:r>
        <w:rPr>
          <w:rFonts w:hint="eastAsia"/>
          <w:color w:val="auto"/>
          <w:sz w:val="24"/>
          <w:szCs w:val="24"/>
        </w:rPr>
        <w:t>采</w:t>
      </w:r>
      <w:r>
        <w:rPr>
          <w:color w:val="auto"/>
          <w:sz w:val="24"/>
          <w:szCs w:val="24"/>
        </w:rPr>
        <w:t>购、保管、维修、配置和处置等工作由办公室负责。</w:t>
      </w:r>
    </w:p>
    <w:p w14:paraId="1C2B1DC0">
      <w:pPr>
        <w:pStyle w:val="6"/>
        <w:pageBreakBefore w:val="0"/>
        <w:widowControl w:val="0"/>
        <w:kinsoku/>
        <w:wordWrap/>
        <w:overflowPunct/>
        <w:topLinePunct w:val="0"/>
        <w:autoSpaceDE/>
        <w:autoSpaceDN/>
        <w:bidi w:val="0"/>
        <w:adjustRightInd/>
        <w:snapToGrid/>
        <w:spacing w:line="360" w:lineRule="auto"/>
        <w:ind w:left="200" w:leftChars="0" w:firstLine="40" w:firstLineChars="0"/>
        <w:jc w:val="left"/>
        <w:textAlignment w:val="auto"/>
        <w:rPr>
          <w:color w:val="auto"/>
          <w:sz w:val="24"/>
          <w:szCs w:val="24"/>
        </w:rPr>
      </w:pPr>
      <w:r>
        <w:rPr>
          <w:color w:val="auto"/>
          <w:sz w:val="24"/>
          <w:szCs w:val="24"/>
        </w:rPr>
        <w:t>办公室应对固定资产进行日常管理，定期进行清查盘点，保证账账相符，账实相符。年度对盘盈、盘亏的固定资产按相关规定及时处理。闲置的固定资产，按照规定及时研究处理，使之合理流动，充分发挥其使用效益。需要更新固定资产时， 应严格按照国有资产处置有关规定，遵循物尽其用的原则，科学鉴定在用办公设备的报废条件，办理闲置或拟报废资产的处置手续后方可申报购置预算。</w:t>
      </w:r>
    </w:p>
    <w:p w14:paraId="7F674165">
      <w:pPr>
        <w:pStyle w:val="6"/>
        <w:pageBreakBefore w:val="0"/>
        <w:widowControl w:val="0"/>
        <w:kinsoku/>
        <w:wordWrap/>
        <w:overflowPunct/>
        <w:topLinePunct w:val="0"/>
        <w:autoSpaceDE/>
        <w:autoSpaceDN/>
        <w:bidi w:val="0"/>
        <w:adjustRightInd/>
        <w:snapToGrid/>
        <w:spacing w:line="360" w:lineRule="auto"/>
        <w:ind w:left="0" w:leftChars="0" w:firstLine="720" w:firstLineChars="300"/>
        <w:jc w:val="both"/>
        <w:textAlignment w:val="auto"/>
        <w:rPr>
          <w:color w:val="auto"/>
          <w:sz w:val="24"/>
          <w:szCs w:val="24"/>
        </w:rPr>
      </w:pPr>
      <w:r>
        <w:rPr>
          <w:color w:val="auto"/>
          <w:sz w:val="24"/>
          <w:szCs w:val="24"/>
        </w:rPr>
        <w:t>本单位</w:t>
      </w:r>
      <w:r>
        <w:rPr>
          <w:rFonts w:hint="eastAsia"/>
          <w:color w:val="auto"/>
          <w:sz w:val="24"/>
          <w:szCs w:val="24"/>
          <w:lang w:eastAsia="zh-CN"/>
        </w:rPr>
        <w:t>202</w:t>
      </w:r>
      <w:r>
        <w:rPr>
          <w:rFonts w:hint="eastAsia"/>
          <w:color w:val="auto"/>
          <w:sz w:val="24"/>
          <w:szCs w:val="24"/>
          <w:lang w:val="en-US" w:eastAsia="zh-CN"/>
        </w:rPr>
        <w:t>3</w:t>
      </w:r>
      <w:r>
        <w:rPr>
          <w:rFonts w:hint="eastAsia"/>
          <w:color w:val="auto"/>
          <w:sz w:val="24"/>
          <w:szCs w:val="24"/>
          <w:lang w:eastAsia="zh-CN"/>
        </w:rPr>
        <w:t>年</w:t>
      </w:r>
      <w:r>
        <w:rPr>
          <w:color w:val="auto"/>
          <w:sz w:val="24"/>
          <w:szCs w:val="24"/>
        </w:rPr>
        <w:t>末货币资金无余额，</w:t>
      </w:r>
      <w:r>
        <w:rPr>
          <w:rFonts w:hint="eastAsia"/>
          <w:color w:val="auto"/>
          <w:sz w:val="24"/>
          <w:szCs w:val="24"/>
          <w:lang w:eastAsia="zh-CN"/>
        </w:rPr>
        <w:t>202</w:t>
      </w:r>
      <w:r>
        <w:rPr>
          <w:rFonts w:hint="eastAsia"/>
          <w:color w:val="auto"/>
          <w:sz w:val="24"/>
          <w:szCs w:val="24"/>
          <w:lang w:val="en-US" w:eastAsia="zh-CN"/>
        </w:rPr>
        <w:t>3</w:t>
      </w:r>
      <w:r>
        <w:rPr>
          <w:rFonts w:hint="eastAsia"/>
          <w:color w:val="auto"/>
          <w:sz w:val="24"/>
          <w:szCs w:val="24"/>
          <w:lang w:eastAsia="zh-CN"/>
        </w:rPr>
        <w:t>年</w:t>
      </w:r>
      <w:r>
        <w:rPr>
          <w:color w:val="auto"/>
          <w:sz w:val="24"/>
          <w:szCs w:val="24"/>
        </w:rPr>
        <w:t>内房屋面积和车辆数量无变化。</w:t>
      </w:r>
    </w:p>
    <w:p w14:paraId="122D3BE1">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bookmarkStart w:id="24" w:name="bookmark24"/>
      <w:r>
        <w:rPr>
          <w:color w:val="auto"/>
          <w:sz w:val="24"/>
          <w:szCs w:val="24"/>
        </w:rPr>
        <w:t>三</w:t>
      </w:r>
      <w:bookmarkEnd w:id="24"/>
      <w:r>
        <w:rPr>
          <w:color w:val="auto"/>
          <w:sz w:val="24"/>
          <w:szCs w:val="24"/>
        </w:rPr>
        <w:t>、部门整体支出绩效情况</w:t>
      </w:r>
    </w:p>
    <w:p w14:paraId="74E5BB5F">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w:t>
      </w:r>
      <w:r>
        <w:rPr>
          <w:rFonts w:hint="eastAsia"/>
          <w:color w:val="auto"/>
          <w:sz w:val="24"/>
          <w:szCs w:val="24"/>
        </w:rPr>
        <w:t>一</w:t>
      </w:r>
      <w:r>
        <w:rPr>
          <w:color w:val="auto"/>
          <w:sz w:val="24"/>
          <w:szCs w:val="24"/>
        </w:rPr>
        <w:t>）部门整体支出绩效目标完成情况</w:t>
      </w:r>
    </w:p>
    <w:p w14:paraId="27A71D08">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1、本单位</w:t>
      </w:r>
      <w:r>
        <w:rPr>
          <w:rFonts w:hint="eastAsia"/>
          <w:color w:val="auto"/>
          <w:sz w:val="24"/>
          <w:szCs w:val="24"/>
          <w:lang w:eastAsia="zh-CN"/>
        </w:rPr>
        <w:t>202</w:t>
      </w:r>
      <w:r>
        <w:rPr>
          <w:rFonts w:hint="eastAsia"/>
          <w:color w:val="auto"/>
          <w:sz w:val="24"/>
          <w:szCs w:val="24"/>
          <w:lang w:val="en-US" w:eastAsia="zh-CN"/>
        </w:rPr>
        <w:t>3</w:t>
      </w:r>
      <w:r>
        <w:rPr>
          <w:rFonts w:hint="eastAsia"/>
          <w:color w:val="auto"/>
          <w:sz w:val="24"/>
          <w:szCs w:val="24"/>
          <w:lang w:eastAsia="zh-CN"/>
        </w:rPr>
        <w:t>年</w:t>
      </w:r>
      <w:r>
        <w:rPr>
          <w:color w:val="auto"/>
          <w:sz w:val="24"/>
          <w:szCs w:val="24"/>
        </w:rPr>
        <w:t>预算安排数为</w:t>
      </w:r>
      <w:r>
        <w:rPr>
          <w:rFonts w:hint="eastAsia"/>
          <w:color w:val="auto"/>
          <w:sz w:val="24"/>
          <w:szCs w:val="24"/>
          <w:lang w:val="en-US" w:eastAsia="zh-CN"/>
        </w:rPr>
        <w:t>646.06</w:t>
      </w:r>
      <w:r>
        <w:rPr>
          <w:color w:val="auto"/>
          <w:sz w:val="24"/>
          <w:szCs w:val="24"/>
        </w:rPr>
        <w:t>万元，本年追加预算</w:t>
      </w:r>
      <w:r>
        <w:rPr>
          <w:rFonts w:hint="eastAsia"/>
          <w:color w:val="auto"/>
          <w:sz w:val="24"/>
          <w:szCs w:val="24"/>
          <w:lang w:val="en-US" w:eastAsia="zh-CN"/>
        </w:rPr>
        <w:t xml:space="preserve">20.18                                                                                                                                                                                                                                                                                                                                                                                                                                                                                                                           </w:t>
      </w:r>
      <w:r>
        <w:rPr>
          <w:color w:val="auto"/>
          <w:sz w:val="24"/>
          <w:szCs w:val="24"/>
        </w:rPr>
        <w:t>万元，实际支出</w:t>
      </w:r>
      <w:r>
        <w:rPr>
          <w:rFonts w:hint="eastAsia"/>
          <w:color w:val="auto"/>
          <w:sz w:val="24"/>
          <w:szCs w:val="24"/>
          <w:lang w:val="en-US" w:eastAsia="zh-CN"/>
        </w:rPr>
        <w:t>666.24</w:t>
      </w:r>
      <w:r>
        <w:rPr>
          <w:color w:val="auto"/>
          <w:sz w:val="24"/>
          <w:szCs w:val="24"/>
        </w:rPr>
        <w:t>万元。</w:t>
      </w:r>
    </w:p>
    <w:p w14:paraId="5CB39380">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2、本单位</w:t>
      </w:r>
      <w:r>
        <w:rPr>
          <w:rFonts w:hint="eastAsia"/>
          <w:color w:val="auto"/>
          <w:sz w:val="24"/>
          <w:szCs w:val="24"/>
          <w:lang w:eastAsia="zh-CN"/>
        </w:rPr>
        <w:t>202</w:t>
      </w:r>
      <w:r>
        <w:rPr>
          <w:rFonts w:hint="eastAsia"/>
          <w:color w:val="auto"/>
          <w:sz w:val="24"/>
          <w:szCs w:val="24"/>
          <w:lang w:val="en-US" w:eastAsia="zh-CN"/>
        </w:rPr>
        <w:t>3</w:t>
      </w:r>
      <w:r>
        <w:rPr>
          <w:rFonts w:hint="eastAsia"/>
          <w:color w:val="auto"/>
          <w:sz w:val="24"/>
          <w:szCs w:val="24"/>
          <w:lang w:eastAsia="zh-CN"/>
        </w:rPr>
        <w:t>年</w:t>
      </w:r>
      <w:r>
        <w:rPr>
          <w:color w:val="auto"/>
          <w:sz w:val="24"/>
          <w:szCs w:val="24"/>
        </w:rPr>
        <w:t>财政供养人员控制在预算编制以内，“三公”经费未超支，较好地控制在预算范围之内。</w:t>
      </w:r>
    </w:p>
    <w:p w14:paraId="2DD9C427">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w:t>
      </w:r>
      <w:r>
        <w:rPr>
          <w:rFonts w:hint="eastAsia"/>
          <w:color w:val="auto"/>
          <w:sz w:val="24"/>
          <w:szCs w:val="24"/>
        </w:rPr>
        <w:t>二</w:t>
      </w:r>
      <w:r>
        <w:rPr>
          <w:color w:val="auto"/>
          <w:sz w:val="24"/>
          <w:szCs w:val="24"/>
        </w:rPr>
        <w:t>）实现产出和取得的效益情况</w:t>
      </w:r>
    </w:p>
    <w:p w14:paraId="44661B08">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1.加强职工思想政治引领。开展工人阶级宣传月和“中国梦·劳动美”系列活动， “五一”期间举办了“学雷锋精神、展劳动风采”主题宣讲。开展职工思政课下基层的活动，全年送课10场。组织全区各级职工书屋的“好书推荐官”开展了学习《习近平关于工人阶级和工会工作论述摘编》阅读分享活动。在公众微信号上开展女职工维权、“喜迎中国工会十八大”等知识答题竞赛活动。</w:t>
      </w:r>
    </w:p>
    <w:p w14:paraId="5FAC9F60">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不断提升职工综合素质。开展“一户一产业工人”培训7期，培训产业工人、技术职工618人；联合区教育局、区卫健局、区住建局举办教学赛课、卫生护理、乡村工匠等竞赛3场，承办了长沙市“百优食堂”厨师技艺大赛，指导中交（建设）长沙有限公司工会、泰嘉新材料有限公司工会开展房建、安全施工等技术比武4场。</w:t>
      </w:r>
    </w:p>
    <w:p w14:paraId="0F79EBFD">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b/>
          <w:bCs/>
          <w:sz w:val="24"/>
          <w:szCs w:val="24"/>
        </w:rPr>
        <w:t xml:space="preserve"> 劳模工匠精神大力弘扬。</w:t>
      </w:r>
      <w:r>
        <w:rPr>
          <w:rFonts w:hint="eastAsia" w:ascii="宋体" w:hAnsi="宋体" w:eastAsia="宋体" w:cs="宋体"/>
          <w:sz w:val="24"/>
          <w:szCs w:val="24"/>
        </w:rPr>
        <w:t>加强劳模管理服务，加大关心关爱力度，组织全区60多名劳模赴青岛、重庆、衡山、韶山等等地进行疗休养活动；组织全区150名技术工人赴张家界开展疗休养活动。积极做好全国五一劳动奖的推荐申报工作，澳优乳业（中国）有限公司获评全国五一劳动奖状。</w:t>
      </w:r>
    </w:p>
    <w:p w14:paraId="3B33917E">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b/>
          <w:bCs/>
          <w:sz w:val="24"/>
          <w:szCs w:val="24"/>
        </w:rPr>
        <w:t xml:space="preserve"> 职工合法权益得到维护。</w:t>
      </w:r>
      <w:r>
        <w:rPr>
          <w:rFonts w:hint="eastAsia" w:ascii="宋体" w:hAnsi="宋体" w:eastAsia="宋体" w:cs="宋体"/>
          <w:sz w:val="24"/>
          <w:szCs w:val="24"/>
        </w:rPr>
        <w:t>开展“尊法守法·携手筑梦”公益法律服务行动、女职工维权行动月、禁毒宣传等活动3场，发放宣传资料1000余份，组织全区100家企业开展“安康杯”竞赛，进一步保障广大职工安全健康权益。做实做优做强工会“四送四助”服务品牌，筹集资金120万元，开展送温暖、送清凉、送助学等慰问活动，服务一线职工、困难职工及其子女900多人次；组织全区3万职工参加长沙市在职职工医疗互助活动和女职工特殊疾病保障项目。</w:t>
      </w:r>
    </w:p>
    <w:p w14:paraId="2DE9BD71">
      <w:pPr>
        <w:adjustRightInd w:val="0"/>
        <w:snapToGrid w:val="0"/>
        <w:spacing w:line="6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5.提高职工生活品质。</w:t>
      </w:r>
      <w:r>
        <w:rPr>
          <w:rFonts w:hint="eastAsia" w:ascii="宋体" w:hAnsi="宋体" w:eastAsia="宋体" w:cs="宋体"/>
          <w:sz w:val="24"/>
          <w:szCs w:val="24"/>
        </w:rPr>
        <w:t>新建工会户外劳动者服务站点10家，市级红色工运教育基地2家、职工疗休养基地2家、职工技能服务基地1家、职工生活服务基地1家；推荐申报市级儿童友好型企事业单位2家、职工书屋示范点1家、母婴关爱室4家。开展“望一人、倾一城”主题系列单身相亲联谊活动8场，举办望城区首届制造业单身交友联谊会；举办羽毛球、乒乓球、气排球、趣味运动会等职工文体活动；积极组队参加长沙市首届职工运动会，取得团体总成绩第6名。</w:t>
      </w:r>
    </w:p>
    <w:p w14:paraId="518BE6C3">
      <w:pPr>
        <w:spacing w:line="6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6.构建和谐劳动关系。</w:t>
      </w:r>
      <w:r>
        <w:rPr>
          <w:rFonts w:hint="eastAsia" w:ascii="宋体" w:hAnsi="宋体" w:eastAsia="宋体" w:cs="宋体"/>
          <w:sz w:val="24"/>
          <w:szCs w:val="24"/>
        </w:rPr>
        <w:t>开展工资集体协商“春季要约行动”，全区百人以上已建工会企业工资协商建制率保持在95%以上，签订工资集体协商协议702份，树立市级典型示范单位1家。贯彻落实上级工会关于“五个坚决”的要求，健全完善维护劳动领域政治安全十项机制；加强监测和预判预警，全区累计建立劳动关系信息直报点和样本点20个。开展职工队伍稳定风险排查化解专项行动，守牢“五个不发生”底线，有力维护劳动领域政治安全。</w:t>
      </w:r>
    </w:p>
    <w:p w14:paraId="7AAC1BBD">
      <w:pPr>
        <w:spacing w:line="6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7.扩大工会组织覆盖面。</w:t>
      </w:r>
      <w:r>
        <w:rPr>
          <w:rFonts w:hint="eastAsia" w:ascii="宋体" w:hAnsi="宋体" w:eastAsia="宋体" w:cs="宋体"/>
          <w:sz w:val="24"/>
          <w:szCs w:val="24"/>
        </w:rPr>
        <w:t>贯彻落实上级工会关于“县级工会加强年”专项工作的要求，进一步扩大工会组织覆盖面，加强社会组织的建会，开展百人以上非公企业、农民工、新就业形态劳动者为重点的建会入会专项行动。新建工会组织98家，新发展会员3457人。加强“小三级”工会规范化建设，新建“小三级”工会阵地示范点10个。推荐申报市级模范职工之家2家，模范职工小家2家。</w:t>
      </w:r>
    </w:p>
    <w:p w14:paraId="7AFD7109">
      <w:pPr>
        <w:spacing w:line="6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8.提升资金资产管理水平。</w:t>
      </w:r>
      <w:r>
        <w:rPr>
          <w:rFonts w:hint="eastAsia" w:ascii="宋体" w:hAnsi="宋体" w:eastAsia="宋体" w:cs="宋体"/>
          <w:sz w:val="24"/>
          <w:szCs w:val="24"/>
        </w:rPr>
        <w:t>开展基层工会专项财务检查，检查监督基层工会64家，审计专项补助资金400多万元；加强工会资产监督管理，加强工人文化宫项目建设，积极推进工人文化宫择址新建。</w:t>
      </w:r>
    </w:p>
    <w:p w14:paraId="47EC2E70">
      <w:pPr>
        <w:spacing w:line="600" w:lineRule="exact"/>
        <w:ind w:firstLine="482" w:firstLineChars="200"/>
        <w:rPr>
          <w:rFonts w:hint="eastAsia" w:ascii="宋体" w:hAnsi="宋体" w:eastAsia="宋体" w:cs="宋体"/>
          <w:sz w:val="24"/>
          <w:szCs w:val="24"/>
        </w:rPr>
      </w:pPr>
      <w:r>
        <w:rPr>
          <w:rFonts w:hint="eastAsia" w:ascii="宋体" w:hAnsi="宋体" w:eastAsia="宋体" w:cs="宋体"/>
          <w:b/>
          <w:bCs/>
          <w:sz w:val="24"/>
          <w:szCs w:val="24"/>
        </w:rPr>
        <w:t>9.工会干部素质不断提高。</w:t>
      </w:r>
      <w:r>
        <w:rPr>
          <w:rFonts w:hint="eastAsia" w:ascii="宋体" w:hAnsi="宋体" w:eastAsia="宋体" w:cs="宋体"/>
          <w:color w:val="000000"/>
          <w:sz w:val="24"/>
          <w:szCs w:val="24"/>
        </w:rPr>
        <w:t>开展新任基层工会主席培训班、工会干部培训班和财务经审培训班等4多期，</w:t>
      </w:r>
      <w:r>
        <w:rPr>
          <w:rFonts w:hint="eastAsia" w:ascii="宋体" w:hAnsi="宋体" w:eastAsia="宋体" w:cs="宋体"/>
          <w:sz w:val="24"/>
          <w:szCs w:val="24"/>
        </w:rPr>
        <w:t>培训全区工会干部500人次。全区工会干部获省级“职工最可信赖娘家人”1人、市级“职工最可信赖娘家人”2人。</w:t>
      </w:r>
    </w:p>
    <w:p w14:paraId="06DD82FC">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720" w:firstLineChars="300"/>
        <w:jc w:val="both"/>
        <w:textAlignment w:val="auto"/>
        <w:rPr>
          <w:color w:val="auto"/>
          <w:sz w:val="24"/>
          <w:szCs w:val="24"/>
        </w:rPr>
      </w:pPr>
      <w:r>
        <w:rPr>
          <w:color w:val="auto"/>
          <w:sz w:val="24"/>
          <w:szCs w:val="24"/>
        </w:rPr>
        <w:t>存在的问题及原因分析</w:t>
      </w:r>
    </w:p>
    <w:p w14:paraId="5537E2E0">
      <w:pPr>
        <w:pStyle w:val="6"/>
        <w:keepNext w:val="0"/>
        <w:keepLines w:val="0"/>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highlight w:val="none"/>
        </w:rPr>
      </w:pPr>
      <w:r>
        <w:rPr>
          <w:color w:val="auto"/>
          <w:sz w:val="24"/>
          <w:szCs w:val="24"/>
        </w:rPr>
        <w:t>通过上述对本单位整体支出情况的分析，在整体支出的预算编制、执行和管理过</w:t>
      </w:r>
      <w:r>
        <w:rPr>
          <w:color w:val="auto"/>
          <w:sz w:val="24"/>
          <w:szCs w:val="24"/>
          <w:highlight w:val="none"/>
        </w:rPr>
        <w:t>程中，依然存在一些问题和不足。</w:t>
      </w:r>
    </w:p>
    <w:p w14:paraId="44F4F88F">
      <w:pPr>
        <w:pStyle w:val="6"/>
        <w:keepNext w:val="0"/>
        <w:keepLines w:val="0"/>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highlight w:val="none"/>
        </w:rPr>
      </w:pPr>
      <w:r>
        <w:rPr>
          <w:color w:val="auto"/>
          <w:sz w:val="24"/>
          <w:szCs w:val="24"/>
          <w:highlight w:val="none"/>
        </w:rPr>
        <w:t>本单位</w:t>
      </w:r>
      <w:r>
        <w:rPr>
          <w:rFonts w:hint="eastAsia"/>
          <w:color w:val="auto"/>
          <w:sz w:val="24"/>
          <w:szCs w:val="24"/>
          <w:highlight w:val="none"/>
          <w:lang w:eastAsia="zh-CN"/>
        </w:rPr>
        <w:t>202</w:t>
      </w:r>
      <w:r>
        <w:rPr>
          <w:rFonts w:hint="eastAsia"/>
          <w:color w:val="auto"/>
          <w:sz w:val="24"/>
          <w:szCs w:val="24"/>
          <w:highlight w:val="none"/>
          <w:lang w:val="en-US" w:eastAsia="zh-CN"/>
        </w:rPr>
        <w:t>3</w:t>
      </w:r>
      <w:r>
        <w:rPr>
          <w:rFonts w:hint="eastAsia"/>
          <w:color w:val="auto"/>
          <w:sz w:val="24"/>
          <w:szCs w:val="24"/>
          <w:highlight w:val="none"/>
          <w:lang w:eastAsia="zh-CN"/>
        </w:rPr>
        <w:t>年</w:t>
      </w:r>
      <w:r>
        <w:rPr>
          <w:color w:val="auto"/>
          <w:sz w:val="24"/>
          <w:szCs w:val="24"/>
          <w:highlight w:val="none"/>
        </w:rPr>
        <w:t>年初基本支出预算数为</w:t>
      </w:r>
      <w:r>
        <w:rPr>
          <w:rFonts w:hint="eastAsia"/>
          <w:color w:val="auto"/>
          <w:sz w:val="24"/>
          <w:szCs w:val="24"/>
          <w:highlight w:val="none"/>
          <w:lang w:val="en-US" w:eastAsia="zh-CN"/>
        </w:rPr>
        <w:t>493.06</w:t>
      </w:r>
      <w:r>
        <w:rPr>
          <w:color w:val="auto"/>
          <w:sz w:val="24"/>
          <w:szCs w:val="24"/>
          <w:highlight w:val="none"/>
        </w:rPr>
        <w:t>万元，年终基本支出决算数为</w:t>
      </w:r>
      <w:r>
        <w:rPr>
          <w:rFonts w:hint="eastAsia"/>
          <w:color w:val="auto"/>
          <w:sz w:val="24"/>
          <w:szCs w:val="24"/>
          <w:highlight w:val="none"/>
          <w:lang w:val="en-US" w:eastAsia="zh-CN"/>
        </w:rPr>
        <w:t>513.3</w:t>
      </w:r>
      <w:r>
        <w:rPr>
          <w:color w:val="auto"/>
          <w:sz w:val="24"/>
          <w:szCs w:val="24"/>
          <w:highlight w:val="none"/>
        </w:rPr>
        <w:t>万元</w:t>
      </w:r>
      <w:r>
        <w:rPr>
          <w:rFonts w:hint="eastAsia"/>
          <w:color w:val="auto"/>
          <w:sz w:val="24"/>
          <w:szCs w:val="24"/>
          <w:highlight w:val="none"/>
          <w:lang w:eastAsia="zh-CN"/>
        </w:rPr>
        <w:t>，系增加住房补贴支出。</w:t>
      </w:r>
      <w:r>
        <w:rPr>
          <w:color w:val="auto"/>
          <w:sz w:val="24"/>
          <w:szCs w:val="24"/>
          <w:highlight w:val="none"/>
        </w:rPr>
        <w:t>预算编制工作有待细化，应进一步提高预算编制的科学性与均衡性。</w:t>
      </w:r>
    </w:p>
    <w:p w14:paraId="1D33BF62">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下一步改进措施</w:t>
      </w:r>
    </w:p>
    <w:p w14:paraId="23EB6AD7">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针对上述存在的问题及本单位整体支出管理工作的需要，拟实施的改进措施如下：</w:t>
      </w:r>
    </w:p>
    <w:p w14:paraId="3B226EF0">
      <w:pPr>
        <w:pStyle w:val="6"/>
        <w:pageBreakBefore w:val="0"/>
        <w:widowControl w:val="0"/>
        <w:kinsoku/>
        <w:wordWrap/>
        <w:overflowPunct/>
        <w:topLinePunct w:val="0"/>
        <w:autoSpaceDE/>
        <w:autoSpaceDN/>
        <w:bidi w:val="0"/>
        <w:adjustRightInd/>
        <w:snapToGrid/>
        <w:spacing w:line="360" w:lineRule="auto"/>
        <w:ind w:left="200" w:firstLine="420"/>
        <w:jc w:val="both"/>
        <w:textAlignment w:val="auto"/>
        <w:rPr>
          <w:color w:val="auto"/>
          <w:sz w:val="24"/>
          <w:szCs w:val="24"/>
        </w:rPr>
      </w:pPr>
      <w:r>
        <w:rPr>
          <w:color w:val="auto"/>
          <w:sz w:val="24"/>
          <w:szCs w:val="24"/>
        </w:rPr>
        <w:t>1、细化预算编制，合理计划与安排当年预算内容的支出，同时尽量减少本年度预算的调整。本着</w:t>
      </w:r>
      <w:r>
        <w:rPr>
          <w:color w:val="auto"/>
          <w:sz w:val="24"/>
          <w:szCs w:val="24"/>
          <w:lang w:val="zh-CN" w:eastAsia="zh-CN" w:bidi="zh-CN"/>
        </w:rPr>
        <w:t>“勤俭</w:t>
      </w:r>
      <w:r>
        <w:rPr>
          <w:color w:val="auto"/>
          <w:sz w:val="24"/>
          <w:szCs w:val="24"/>
        </w:rPr>
        <w:t>节约、保障运转”的原则进行预算的编制；在预算编制时首先需满足固定性的、相对刚性的费用支出项目，尽量压缩变动性的、有控制空 间的费用项目；杜绝预算编制粗放、拍脑袋现象的发生，进一步提高预算编制的科学性、合理性、严谨性和可控性。</w:t>
      </w:r>
    </w:p>
    <w:p w14:paraId="3053674D">
      <w:pPr>
        <w:pStyle w:val="6"/>
        <w:pageBreakBefore w:val="0"/>
        <w:widowControl w:val="0"/>
        <w:kinsoku/>
        <w:wordWrap/>
        <w:overflowPunct/>
        <w:topLinePunct w:val="0"/>
        <w:autoSpaceDE/>
        <w:autoSpaceDN/>
        <w:bidi w:val="0"/>
        <w:adjustRightInd/>
        <w:snapToGrid/>
        <w:spacing w:after="160" w:line="360" w:lineRule="auto"/>
        <w:ind w:left="200" w:firstLine="340"/>
        <w:jc w:val="both"/>
        <w:textAlignment w:val="auto"/>
        <w:rPr>
          <w:color w:val="auto"/>
          <w:sz w:val="24"/>
          <w:szCs w:val="24"/>
        </w:rPr>
      </w:pPr>
      <w:r>
        <w:rPr>
          <w:color w:val="auto"/>
          <w:sz w:val="24"/>
          <w:szCs w:val="24"/>
        </w:rPr>
        <w:t>2、预算财务分析常态化。定期做好支出预算财务分析，及时对费用预算执行情况进行通报和预警，定期对预算执行情况进行自查，做好部门整体支出预算评价工作。</w:t>
      </w:r>
    </w:p>
    <w:p w14:paraId="279E158C">
      <w:pPr>
        <w:pStyle w:val="6"/>
        <w:pageBreakBefore w:val="0"/>
        <w:widowControl w:val="0"/>
        <w:kinsoku/>
        <w:wordWrap/>
        <w:overflowPunct/>
        <w:topLinePunct w:val="0"/>
        <w:autoSpaceDE/>
        <w:autoSpaceDN/>
        <w:bidi w:val="0"/>
        <w:adjustRightInd/>
        <w:snapToGrid/>
        <w:spacing w:after="160" w:line="360" w:lineRule="auto"/>
        <w:ind w:left="0" w:leftChars="0" w:firstLine="4800" w:firstLineChars="2000"/>
        <w:jc w:val="both"/>
        <w:textAlignment w:val="auto"/>
        <w:rPr>
          <w:rFonts w:hint="eastAsia"/>
          <w:color w:val="auto"/>
          <w:sz w:val="24"/>
          <w:szCs w:val="24"/>
          <w:lang w:val="en-US" w:eastAsia="zh-CN"/>
        </w:rPr>
      </w:pPr>
      <w:r>
        <w:rPr>
          <w:rFonts w:hint="eastAsia"/>
          <w:color w:val="auto"/>
          <w:sz w:val="24"/>
          <w:szCs w:val="24"/>
          <w:lang w:val="en-US" w:eastAsia="zh-CN"/>
        </w:rPr>
        <w:t xml:space="preserve"> 长沙市望城区总工会</w:t>
      </w:r>
    </w:p>
    <w:p w14:paraId="09D49D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xMGJjZTgwNWVhZGExMTFiYjJiZTcyOTYzYjIwMWMifQ=="/>
  </w:docVars>
  <w:rsids>
    <w:rsidRoot w:val="00000000"/>
    <w:rsid w:val="04765325"/>
    <w:rsid w:val="0A8530D4"/>
    <w:rsid w:val="125A4E46"/>
    <w:rsid w:val="141259D8"/>
    <w:rsid w:val="25C7239A"/>
    <w:rsid w:val="31132938"/>
    <w:rsid w:val="3F164C28"/>
    <w:rsid w:val="51BC33A4"/>
    <w:rsid w:val="54D9161F"/>
    <w:rsid w:val="75AB4CE1"/>
    <w:rsid w:val="7D3B6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Heading #1|1"/>
    <w:basedOn w:val="1"/>
    <w:autoRedefine/>
    <w:qFormat/>
    <w:uiPriority w:val="0"/>
    <w:pPr>
      <w:spacing w:after="160" w:line="323" w:lineRule="exact"/>
      <w:jc w:val="center"/>
      <w:outlineLvl w:val="0"/>
    </w:pPr>
    <w:rPr>
      <w:rFonts w:ascii="宋体" w:hAnsi="宋体" w:eastAsia="宋体" w:cs="宋体"/>
      <w:sz w:val="22"/>
      <w:szCs w:val="22"/>
      <w:lang w:val="zh-TW" w:eastAsia="zh-TW" w:bidi="zh-TW"/>
    </w:rPr>
  </w:style>
  <w:style w:type="paragraph" w:customStyle="1" w:styleId="5">
    <w:name w:val="Body text|2"/>
    <w:basedOn w:val="1"/>
    <w:autoRedefine/>
    <w:qFormat/>
    <w:uiPriority w:val="0"/>
    <w:pPr>
      <w:spacing w:line="387" w:lineRule="exact"/>
      <w:ind w:firstLine="460"/>
    </w:pPr>
    <w:rPr>
      <w:rFonts w:ascii="宋体" w:hAnsi="宋体" w:eastAsia="宋体" w:cs="宋体"/>
      <w:sz w:val="19"/>
      <w:szCs w:val="19"/>
      <w:lang w:val="zh-TW" w:eastAsia="zh-TW" w:bidi="zh-TW"/>
    </w:rPr>
  </w:style>
  <w:style w:type="paragraph" w:customStyle="1" w:styleId="6">
    <w:name w:val="Body text|1"/>
    <w:basedOn w:val="1"/>
    <w:autoRedefine/>
    <w:qFormat/>
    <w:uiPriority w:val="0"/>
    <w:pPr>
      <w:spacing w:line="480" w:lineRule="auto"/>
      <w:ind w:firstLine="400"/>
    </w:pPr>
    <w:rPr>
      <w:rFonts w:ascii="宋体" w:hAnsi="宋体" w:eastAsia="宋体" w:cs="宋体"/>
      <w:sz w:val="17"/>
      <w:szCs w:val="17"/>
      <w:lang w:val="zh-TW" w:eastAsia="zh-TW" w:bidi="zh-TW"/>
    </w:rPr>
  </w:style>
  <w:style w:type="paragraph" w:customStyle="1" w:styleId="7">
    <w:name w:val="Other|1"/>
    <w:basedOn w:val="1"/>
    <w:autoRedefine/>
    <w:qFormat/>
    <w:uiPriority w:val="0"/>
    <w:pPr>
      <w:spacing w:line="480" w:lineRule="auto"/>
      <w:ind w:firstLine="400"/>
    </w:pPr>
    <w:rPr>
      <w:rFonts w:ascii="宋体" w:hAnsi="宋体" w:eastAsia="宋体" w:cs="宋体"/>
      <w:sz w:val="17"/>
      <w:szCs w:val="17"/>
      <w:lang w:val="zh-TW" w:eastAsia="zh-TW" w:bidi="zh-TW"/>
    </w:rPr>
  </w:style>
  <w:style w:type="paragraph" w:styleId="8">
    <w:name w:val="List Paragraph"/>
    <w:basedOn w:val="1"/>
    <w:autoRedefine/>
    <w:qFormat/>
    <w:uiPriority w:val="0"/>
    <w:pPr>
      <w:ind w:firstLine="200" w:firstLineChars="200"/>
    </w:pPr>
    <w:rPr>
      <w:rFonts w:ascii="Times New Roman" w:hAnsi="Times New Roman"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3920</Words>
  <Characters>4106</Characters>
  <Lines>0</Lines>
  <Paragraphs>0</Paragraphs>
  <TotalTime>3</TotalTime>
  <ScaleCrop>false</ScaleCrop>
  <LinksUpToDate>false</LinksUpToDate>
  <CharactersWithSpaces>4634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Polaris</cp:lastModifiedBy>
  <dcterms:modified xsi:type="dcterms:W3CDTF">2024-10-28T07:54:09Z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81028441C2714EE696C9D3FF0654394D_13</vt:lpwstr>
  </property>
</Properties>
</file>