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8FD42">
      <w:pPr>
        <w:pStyle w:val="6"/>
        <w:jc w:val="both"/>
        <w:rPr>
          <w:rFonts w:ascii="Times New Roman" w:hAnsi="Times New Roman" w:cs="Times New Roman"/>
          <w:color w:val="000000"/>
          <w:sz w:val="84"/>
          <w:szCs w:val="84"/>
          <w:highlight w:val="none"/>
          <w:lang w:val="en-US" w:eastAsia="zh-CN"/>
        </w:rPr>
      </w:pPr>
    </w:p>
    <w:p w14:paraId="4BCA3B3A">
      <w:pPr>
        <w:pStyle w:val="6"/>
        <w:jc w:val="both"/>
        <w:rPr>
          <w:rFonts w:ascii="Times New Roman" w:hAnsi="Times New Roman" w:cs="Times New Roman"/>
          <w:color w:val="000000"/>
          <w:sz w:val="84"/>
          <w:szCs w:val="84"/>
          <w:highlight w:val="none"/>
          <w:lang w:val="en-US" w:eastAsia="zh-CN"/>
        </w:rPr>
      </w:pPr>
    </w:p>
    <w:p w14:paraId="043F5C23">
      <w:pPr>
        <w:pStyle w:val="6"/>
        <w:jc w:val="both"/>
        <w:rPr>
          <w:rFonts w:ascii="Times New Roman" w:hAnsi="Times New Roman" w:cs="Times New Roman"/>
          <w:color w:val="000000"/>
          <w:sz w:val="84"/>
          <w:szCs w:val="84"/>
          <w:highlight w:val="none"/>
          <w:lang w:val="en-US" w:eastAsia="zh-CN"/>
        </w:rPr>
      </w:pPr>
    </w:p>
    <w:p w14:paraId="7C40D18E">
      <w:pPr>
        <w:pStyle w:val="6"/>
        <w:jc w:val="center"/>
        <w:rPr>
          <w:rFonts w:ascii="Times New Roman" w:hAnsi="Times New Roman" w:eastAsia="方正小标宋简体" w:cs="Times New Roman"/>
          <w:color w:val="000000"/>
          <w:sz w:val="72"/>
          <w:szCs w:val="72"/>
          <w:highlight w:val="none"/>
          <w:lang w:val="en-US" w:eastAsia="zh-CN"/>
        </w:rPr>
      </w:pPr>
      <w:r>
        <w:rPr>
          <w:rFonts w:ascii="Times New Roman" w:hAnsi="Times New Roman" w:eastAsia="方正小标宋简体" w:cs="Times New Roman"/>
          <w:color w:val="000000"/>
          <w:sz w:val="72"/>
          <w:szCs w:val="72"/>
          <w:highlight w:val="none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z w:val="72"/>
          <w:szCs w:val="72"/>
          <w:highlight w:val="none"/>
          <w:lang w:val="en-US" w:eastAsia="zh-CN"/>
        </w:rPr>
        <w:t>6</w:t>
      </w:r>
      <w:r>
        <w:rPr>
          <w:rFonts w:ascii="Times New Roman" w:hAnsi="Times New Roman" w:eastAsia="方正小标宋简体" w:cs="Times New Roman"/>
          <w:color w:val="000000"/>
          <w:sz w:val="72"/>
          <w:szCs w:val="72"/>
          <w:highlight w:val="none"/>
          <w:lang w:val="en-US" w:eastAsia="zh-CN"/>
        </w:rPr>
        <w:t>年度</w:t>
      </w:r>
    </w:p>
    <w:p w14:paraId="11A640E9">
      <w:pPr>
        <w:pStyle w:val="6"/>
        <w:jc w:val="center"/>
        <w:rPr>
          <w:rFonts w:ascii="Times New Roman" w:hAnsi="Times New Roman" w:eastAsia="方正小标宋简体" w:cs="Times New Roman"/>
          <w:color w:val="000000"/>
          <w:sz w:val="72"/>
          <w:szCs w:val="7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90"/>
          <w:sz w:val="72"/>
          <w:szCs w:val="72"/>
          <w:highlight w:val="none"/>
          <w:lang w:val="en-US" w:eastAsia="zh-CN"/>
        </w:rPr>
        <w:t>长沙市望城区茶亭镇人民政府</w:t>
      </w:r>
      <w:r>
        <w:rPr>
          <w:rFonts w:ascii="Times New Roman" w:hAnsi="Times New Roman" w:eastAsia="方正小标宋简体" w:cs="Times New Roman"/>
          <w:color w:val="000000"/>
          <w:spacing w:val="0"/>
          <w:w w:val="90"/>
          <w:sz w:val="72"/>
          <w:szCs w:val="72"/>
          <w:highlight w:val="none"/>
          <w:lang w:val="en-US" w:eastAsia="zh-CN"/>
        </w:rPr>
        <w:t>部门决算</w:t>
      </w:r>
    </w:p>
    <w:p w14:paraId="230FFC7F">
      <w:pPr>
        <w:spacing w:before="87" w:line="222" w:lineRule="auto"/>
        <w:ind w:left="4504"/>
        <w:rPr>
          <w:rFonts w:hint="eastAsia" w:ascii="黑体" w:hAnsi="黑体" w:eastAsia="黑体" w:cs="黑体"/>
          <w:spacing w:val="-26"/>
          <w:sz w:val="36"/>
          <w:szCs w:val="36"/>
        </w:rPr>
        <w:sectPr>
          <w:pgSz w:w="11906" w:h="16839"/>
          <w:pgMar w:top="1422" w:right="1785" w:bottom="0" w:left="1110" w:header="0" w:footer="0" w:gutter="0"/>
          <w:cols w:space="720" w:num="1"/>
        </w:sectPr>
      </w:pPr>
    </w:p>
    <w:p w14:paraId="646016C8">
      <w:pPr>
        <w:spacing w:before="352" w:line="220" w:lineRule="auto"/>
        <w:ind w:left="2887" w:firstLine="1767" w:firstLineChars="500"/>
        <w:jc w:val="left"/>
        <w:rPr>
          <w:rFonts w:hint="eastAsia" w:ascii="宋体" w:hAnsi="宋体" w:eastAsia="宋体" w:cs="宋体"/>
          <w:b/>
          <w:bCs/>
          <w:spacing w:val="-4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4"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pacing w:val="-4"/>
          <w:sz w:val="36"/>
          <w:szCs w:val="36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pacing w:val="-4"/>
          <w:sz w:val="36"/>
          <w:szCs w:val="36"/>
        </w:rPr>
        <w:t>录</w:t>
      </w:r>
      <w:bookmarkStart w:id="15" w:name="_GoBack"/>
      <w:bookmarkEnd w:id="15"/>
    </w:p>
    <w:p w14:paraId="3F6FE637">
      <w:pPr>
        <w:spacing w:before="342" w:line="221" w:lineRule="auto"/>
        <w:ind w:left="62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"/>
          <w:sz w:val="32"/>
          <w:szCs w:val="32"/>
        </w:rPr>
        <w:t>第一部分： 202</w:t>
      </w: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6</w:t>
      </w:r>
      <w:r>
        <w:rPr>
          <w:rFonts w:ascii="黑体" w:hAnsi="黑体" w:eastAsia="黑体" w:cs="黑体"/>
          <w:spacing w:val="-1"/>
          <w:sz w:val="32"/>
          <w:szCs w:val="32"/>
        </w:rPr>
        <w:t>年部门预算说明</w:t>
      </w:r>
    </w:p>
    <w:sdt>
      <w:sdtPr>
        <w:rPr>
          <w:rFonts w:ascii="仿宋" w:hAnsi="仿宋" w:eastAsia="仿宋" w:cs="仿宋"/>
          <w:sz w:val="32"/>
          <w:szCs w:val="32"/>
        </w:rPr>
        <w:id w:val="147480428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sz w:val="32"/>
          <w:szCs w:val="32"/>
        </w:rPr>
      </w:sdtEndPr>
      <w:sdtContent>
        <w:p w14:paraId="06C136DA">
          <w:pPr>
            <w:pStyle w:val="2"/>
            <w:spacing w:before="33" w:line="222" w:lineRule="auto"/>
            <w:ind w:left="928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6"/>
              <w:sz w:val="32"/>
              <w:szCs w:val="32"/>
            </w:rPr>
            <w:t>一、部门基本概况</w:t>
          </w:r>
          <w:r>
            <w:rPr>
              <w:rFonts w:hint="eastAsia" w:ascii="仿宋_GB2312" w:hAnsi="仿宋_GB2312" w:eastAsia="仿宋_GB2312" w:cs="仿宋_GB2312"/>
              <w:spacing w:val="-6"/>
              <w:sz w:val="32"/>
              <w:szCs w:val="32"/>
            </w:rPr>
            <w:fldChar w:fldCharType="end"/>
          </w:r>
        </w:p>
        <w:p w14:paraId="45BB3FE3">
          <w:pPr>
            <w:pStyle w:val="2"/>
            <w:spacing w:before="32" w:line="221" w:lineRule="auto"/>
            <w:ind w:left="933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"bookmark2"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3"/>
              <w:sz w:val="32"/>
              <w:szCs w:val="32"/>
            </w:rPr>
            <w:t>二、部门预算单位构成</w:t>
          </w:r>
          <w:r>
            <w:rPr>
              <w:rFonts w:hint="eastAsia" w:ascii="仿宋_GB2312" w:hAnsi="仿宋_GB2312" w:eastAsia="仿宋_GB2312" w:cs="仿宋_GB2312"/>
              <w:spacing w:val="-3"/>
              <w:sz w:val="32"/>
              <w:szCs w:val="32"/>
            </w:rPr>
            <w:fldChar w:fldCharType="end"/>
          </w:r>
        </w:p>
        <w:p w14:paraId="2631039C">
          <w:pPr>
            <w:pStyle w:val="2"/>
            <w:spacing w:before="33" w:line="222" w:lineRule="auto"/>
            <w:ind w:left="932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"bookmark3"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3"/>
              <w:sz w:val="32"/>
              <w:szCs w:val="32"/>
            </w:rPr>
            <w:t>三、部门收支总体情况</w:t>
          </w:r>
          <w:r>
            <w:rPr>
              <w:rFonts w:hint="eastAsia" w:ascii="仿宋_GB2312" w:hAnsi="仿宋_GB2312" w:eastAsia="仿宋_GB2312" w:cs="仿宋_GB2312"/>
              <w:spacing w:val="-3"/>
              <w:sz w:val="32"/>
              <w:szCs w:val="32"/>
            </w:rPr>
            <w:fldChar w:fldCharType="end"/>
          </w:r>
        </w:p>
        <w:p w14:paraId="169B5E18">
          <w:pPr>
            <w:pStyle w:val="2"/>
            <w:spacing w:before="32" w:line="222" w:lineRule="auto"/>
            <w:ind w:left="961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"bookmark4"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5"/>
              <w:sz w:val="32"/>
              <w:szCs w:val="32"/>
            </w:rPr>
            <w:t>四、一般公共预算拨款支出预算</w:t>
          </w:r>
          <w:r>
            <w:rPr>
              <w:rFonts w:hint="eastAsia" w:ascii="仿宋_GB2312" w:hAnsi="仿宋_GB2312" w:eastAsia="仿宋_GB2312" w:cs="仿宋_GB2312"/>
              <w:spacing w:val="-5"/>
              <w:sz w:val="32"/>
              <w:szCs w:val="32"/>
            </w:rPr>
            <w:fldChar w:fldCharType="end"/>
          </w:r>
        </w:p>
        <w:p w14:paraId="1EDFB1BB">
          <w:pPr>
            <w:pStyle w:val="2"/>
            <w:spacing w:before="33" w:line="220" w:lineRule="auto"/>
            <w:ind w:left="928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"bookmark5"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3"/>
              <w:sz w:val="32"/>
              <w:szCs w:val="32"/>
            </w:rPr>
            <w:t>五、政府性基金预算支出</w:t>
          </w:r>
          <w:r>
            <w:rPr>
              <w:rFonts w:hint="eastAsia" w:ascii="仿宋_GB2312" w:hAnsi="仿宋_GB2312" w:eastAsia="仿宋_GB2312" w:cs="仿宋_GB2312"/>
              <w:spacing w:val="-3"/>
              <w:sz w:val="32"/>
              <w:szCs w:val="32"/>
            </w:rPr>
            <w:fldChar w:fldCharType="end"/>
          </w:r>
        </w:p>
        <w:p w14:paraId="7C06ED23">
          <w:pPr>
            <w:pStyle w:val="2"/>
            <w:spacing w:before="35" w:line="222" w:lineRule="auto"/>
            <w:ind w:left="925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"bookmark6"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2"/>
              <w:sz w:val="32"/>
              <w:szCs w:val="32"/>
            </w:rPr>
            <w:t>六、其他重要事项的情况说明</w:t>
          </w:r>
          <w:r>
            <w:rPr>
              <w:rFonts w:hint="eastAsia" w:ascii="仿宋_GB2312" w:hAnsi="仿宋_GB2312" w:eastAsia="仿宋_GB2312" w:cs="仿宋_GB2312"/>
              <w:spacing w:val="-2"/>
              <w:sz w:val="32"/>
              <w:szCs w:val="32"/>
            </w:rPr>
            <w:fldChar w:fldCharType="end"/>
          </w:r>
        </w:p>
      </w:sdtContent>
    </w:sdt>
    <w:p w14:paraId="48795438">
      <w:pPr>
        <w:pStyle w:val="2"/>
        <w:spacing w:before="32" w:line="221" w:lineRule="auto"/>
        <w:ind w:left="101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（一）机关运行经费</w:t>
      </w:r>
    </w:p>
    <w:p w14:paraId="3A48405E">
      <w:pPr>
        <w:pStyle w:val="2"/>
        <w:spacing w:before="34" w:line="222" w:lineRule="auto"/>
        <w:ind w:left="100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（二）“三公</w:t>
      </w:r>
      <w:r>
        <w:rPr>
          <w:rFonts w:hint="eastAsia" w:ascii="仿宋_GB2312" w:hAnsi="仿宋_GB2312" w:eastAsia="仿宋_GB2312" w:cs="仿宋_GB2312"/>
          <w:spacing w:val="-111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”经费预算</w:t>
      </w:r>
    </w:p>
    <w:p w14:paraId="4B26E34D">
      <w:pPr>
        <w:pStyle w:val="2"/>
        <w:spacing w:before="33" w:line="220" w:lineRule="auto"/>
        <w:ind w:left="100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（三）一般性支出情况</w:t>
      </w:r>
    </w:p>
    <w:p w14:paraId="43DEEA68">
      <w:pPr>
        <w:pStyle w:val="2"/>
        <w:spacing w:before="36" w:line="222" w:lineRule="auto"/>
        <w:ind w:left="100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（四）政府采购情况</w:t>
      </w:r>
    </w:p>
    <w:p w14:paraId="58441033">
      <w:pPr>
        <w:pStyle w:val="2"/>
        <w:spacing w:before="32" w:line="222" w:lineRule="auto"/>
        <w:ind w:left="100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（五）国有资产占用使用及新增资产配置情况</w:t>
      </w:r>
    </w:p>
    <w:p w14:paraId="2352D6A9">
      <w:pPr>
        <w:pStyle w:val="2"/>
        <w:spacing w:before="31" w:line="222" w:lineRule="auto"/>
        <w:ind w:left="1007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（六）预算绩效目标说明</w:t>
      </w:r>
    </w:p>
    <w:p w14:paraId="042A648D">
      <w:pPr>
        <w:pStyle w:val="2"/>
        <w:spacing w:before="34" w:line="222" w:lineRule="auto"/>
        <w:ind w:left="1014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七、名词解释</w:t>
      </w:r>
    </w:p>
    <w:p w14:paraId="1494B2EC">
      <w:pPr>
        <w:spacing w:before="30" w:line="222" w:lineRule="auto"/>
        <w:ind w:left="62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"/>
          <w:sz w:val="32"/>
          <w:szCs w:val="32"/>
        </w:rPr>
        <w:t>第二部分： 202</w:t>
      </w:r>
      <w:r>
        <w:rPr>
          <w:rFonts w:hint="eastAsia" w:ascii="黑体" w:hAnsi="黑体" w:eastAsia="黑体" w:cs="黑体"/>
          <w:spacing w:val="-1"/>
          <w:sz w:val="32"/>
          <w:szCs w:val="32"/>
          <w:lang w:val="en-US" w:eastAsia="zh-CN"/>
        </w:rPr>
        <w:t>6</w:t>
      </w:r>
      <w:r>
        <w:rPr>
          <w:rFonts w:ascii="黑体" w:hAnsi="黑体" w:eastAsia="黑体" w:cs="黑体"/>
          <w:spacing w:val="-1"/>
          <w:sz w:val="32"/>
          <w:szCs w:val="32"/>
        </w:rPr>
        <w:t>年部门预算表</w:t>
      </w:r>
    </w:p>
    <w:sdt>
      <w:sdtPr>
        <w:rPr>
          <w:rFonts w:hint="eastAsia" w:ascii="仿宋_GB2312" w:hAnsi="仿宋_GB2312" w:eastAsia="仿宋_GB2312" w:cs="仿宋_GB2312"/>
          <w:sz w:val="32"/>
          <w:szCs w:val="32"/>
        </w:rPr>
        <w:id w:val="147466404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sz w:val="32"/>
          <w:szCs w:val="32"/>
        </w:rPr>
      </w:sdtEndPr>
      <w:sdtContent>
        <w:p w14:paraId="59A06873">
          <w:pPr>
            <w:pStyle w:val="2"/>
            <w:spacing w:before="33" w:line="223" w:lineRule="auto"/>
            <w:ind w:left="1112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"bookmark7"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10"/>
              <w:sz w:val="32"/>
              <w:szCs w:val="32"/>
            </w:rPr>
            <w:t>1、收支总表</w:t>
          </w:r>
          <w:r>
            <w:rPr>
              <w:rFonts w:hint="eastAsia" w:ascii="仿宋_GB2312" w:hAnsi="仿宋_GB2312" w:eastAsia="仿宋_GB2312" w:cs="仿宋_GB2312"/>
              <w:spacing w:val="-10"/>
              <w:sz w:val="32"/>
              <w:szCs w:val="32"/>
            </w:rPr>
            <w:fldChar w:fldCharType="end"/>
          </w:r>
        </w:p>
        <w:p w14:paraId="746E6BF4">
          <w:pPr>
            <w:pStyle w:val="2"/>
            <w:spacing w:before="31" w:line="223" w:lineRule="auto"/>
            <w:ind w:left="1092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"bookmark8"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7"/>
              <w:sz w:val="32"/>
              <w:szCs w:val="32"/>
            </w:rPr>
            <w:t>2、收入总表</w:t>
          </w:r>
          <w:r>
            <w:rPr>
              <w:rFonts w:hint="eastAsia" w:ascii="仿宋_GB2312" w:hAnsi="仿宋_GB2312" w:eastAsia="仿宋_GB2312" w:cs="仿宋_GB2312"/>
              <w:spacing w:val="-7"/>
              <w:sz w:val="32"/>
              <w:szCs w:val="32"/>
            </w:rPr>
            <w:fldChar w:fldCharType="end"/>
          </w:r>
        </w:p>
        <w:p w14:paraId="1944CBE5">
          <w:pPr>
            <w:pStyle w:val="2"/>
            <w:spacing w:before="30" w:line="224" w:lineRule="auto"/>
            <w:ind w:left="1095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"bookmark9"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7"/>
              <w:sz w:val="32"/>
              <w:szCs w:val="32"/>
            </w:rPr>
            <w:t>3、支出总表</w:t>
          </w:r>
          <w:r>
            <w:rPr>
              <w:rFonts w:hint="eastAsia" w:ascii="仿宋_GB2312" w:hAnsi="仿宋_GB2312" w:eastAsia="仿宋_GB2312" w:cs="仿宋_GB2312"/>
              <w:spacing w:val="-7"/>
              <w:sz w:val="32"/>
              <w:szCs w:val="32"/>
            </w:rPr>
            <w:fldChar w:fldCharType="end"/>
          </w:r>
        </w:p>
        <w:p w14:paraId="78AA9E69">
          <w:pPr>
            <w:pStyle w:val="2"/>
            <w:spacing w:before="29" w:line="223" w:lineRule="auto"/>
            <w:ind w:left="1087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"bookmark10"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t>4、财政拨款收支总表</w:t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fldChar w:fldCharType="end"/>
          </w:r>
        </w:p>
        <w:p w14:paraId="75523DBF">
          <w:pPr>
            <w:pStyle w:val="2"/>
            <w:spacing w:before="30" w:line="222" w:lineRule="auto"/>
            <w:ind w:left="1095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"bookmark11"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2"/>
              <w:sz w:val="32"/>
              <w:szCs w:val="32"/>
            </w:rPr>
            <w:t>5、一般公共预算支出表</w:t>
          </w:r>
          <w:r>
            <w:rPr>
              <w:rFonts w:hint="eastAsia" w:ascii="仿宋_GB2312" w:hAnsi="仿宋_GB2312" w:eastAsia="仿宋_GB2312" w:cs="仿宋_GB2312"/>
              <w:spacing w:val="-2"/>
              <w:sz w:val="32"/>
              <w:szCs w:val="32"/>
            </w:rPr>
            <w:fldChar w:fldCharType="end"/>
          </w:r>
        </w:p>
        <w:p w14:paraId="16CF0409">
          <w:pPr>
            <w:pStyle w:val="2"/>
            <w:spacing w:before="32" w:line="222" w:lineRule="auto"/>
            <w:ind w:left="1091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"bookmark12"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2"/>
              <w:sz w:val="32"/>
              <w:szCs w:val="32"/>
            </w:rPr>
            <w:t>6、一般公共预算基本支出表</w:t>
          </w:r>
          <w:r>
            <w:rPr>
              <w:rFonts w:hint="eastAsia" w:ascii="仿宋_GB2312" w:hAnsi="仿宋_GB2312" w:eastAsia="仿宋_GB2312" w:cs="仿宋_GB2312"/>
              <w:spacing w:val="-2"/>
              <w:sz w:val="32"/>
              <w:szCs w:val="32"/>
            </w:rPr>
            <w:fldChar w:fldCharType="end"/>
          </w:r>
        </w:p>
        <w:p w14:paraId="2567C48D">
          <w:pPr>
            <w:pStyle w:val="2"/>
            <w:spacing w:before="32" w:line="222" w:lineRule="auto"/>
            <w:ind w:left="1096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"bookmark13"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t>7、一般公共预算“三公</w:t>
          </w:r>
          <w:r>
            <w:rPr>
              <w:rFonts w:hint="eastAsia" w:ascii="仿宋_GB2312" w:hAnsi="仿宋_GB2312" w:eastAsia="仿宋_GB2312" w:cs="仿宋_GB2312"/>
              <w:spacing w:val="-108"/>
              <w:sz w:val="32"/>
              <w:szCs w:val="32"/>
            </w:rPr>
            <w:t xml:space="preserve"> </w:t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t>”经费支出表</w:t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fldChar w:fldCharType="end"/>
          </w:r>
        </w:p>
        <w:p w14:paraId="4249D7FE">
          <w:pPr>
            <w:pStyle w:val="2"/>
            <w:spacing w:before="33" w:line="220" w:lineRule="auto"/>
            <w:ind w:left="1090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"bookmark14"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t>8、政府性基金预算支出表</w:t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fldChar w:fldCharType="end"/>
          </w:r>
        </w:p>
        <w:p w14:paraId="59302D50">
          <w:pPr>
            <w:pStyle w:val="2"/>
            <w:spacing w:before="36" w:line="222" w:lineRule="auto"/>
            <w:ind w:left="1090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"bookmark15"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t>9、项目支出绩效目标表</w:t>
          </w:r>
          <w:r>
            <w:rPr>
              <w:rFonts w:hint="eastAsia" w:ascii="仿宋_GB2312" w:hAnsi="仿宋_GB2312" w:eastAsia="仿宋_GB2312" w:cs="仿宋_GB2312"/>
              <w:spacing w:val="-4"/>
              <w:sz w:val="32"/>
              <w:szCs w:val="32"/>
            </w:rPr>
            <w:fldChar w:fldCharType="end"/>
          </w:r>
        </w:p>
        <w:p w14:paraId="0529B893">
          <w:pPr>
            <w:pStyle w:val="2"/>
            <w:spacing w:before="31" w:line="222" w:lineRule="auto"/>
            <w:ind w:left="1112"/>
            <w:rPr>
              <w:rFonts w:hint="eastAsia" w:ascii="仿宋_GB2312" w:hAnsi="仿宋_GB2312" w:eastAsia="仿宋_GB2312" w:cs="仿宋_GB2312"/>
              <w:sz w:val="32"/>
              <w:szCs w:val="32"/>
            </w:rPr>
          </w:pP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begin"/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instrText xml:space="preserve"> HYPERLINK \l "bookmark16" </w:instrText>
          </w:r>
          <w:r>
            <w:rPr>
              <w:rFonts w:hint="eastAsia" w:ascii="仿宋_GB2312" w:hAnsi="仿宋_GB2312" w:eastAsia="仿宋_GB2312" w:cs="仿宋_GB2312"/>
              <w:sz w:val="32"/>
              <w:szCs w:val="32"/>
            </w:rPr>
            <w:fldChar w:fldCharType="separate"/>
          </w:r>
          <w:r>
            <w:rPr>
              <w:rFonts w:hint="eastAsia" w:ascii="仿宋_GB2312" w:hAnsi="仿宋_GB2312" w:eastAsia="仿宋_GB2312" w:cs="仿宋_GB2312"/>
              <w:spacing w:val="-5"/>
              <w:sz w:val="32"/>
              <w:szCs w:val="32"/>
            </w:rPr>
            <w:t>10、部门整体支出绩效目标表</w:t>
          </w:r>
          <w:r>
            <w:rPr>
              <w:rFonts w:hint="eastAsia" w:ascii="仿宋_GB2312" w:hAnsi="仿宋_GB2312" w:eastAsia="仿宋_GB2312" w:cs="仿宋_GB2312"/>
              <w:spacing w:val="-5"/>
              <w:sz w:val="32"/>
              <w:szCs w:val="32"/>
            </w:rPr>
            <w:fldChar w:fldCharType="end"/>
          </w:r>
        </w:p>
      </w:sdtContent>
    </w:sdt>
    <w:p w14:paraId="229AC6A4">
      <w:pPr>
        <w:spacing w:line="243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3DBF018">
      <w:pPr>
        <w:pStyle w:val="2"/>
        <w:spacing w:before="105" w:line="222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3"/>
          <w:sz w:val="32"/>
          <w:szCs w:val="32"/>
        </w:rPr>
        <w:t>注：以上部门预算报表中，空表表示本部门无相关收支情况。</w:t>
      </w:r>
    </w:p>
    <w:p w14:paraId="7DAC5D80">
      <w:pPr>
        <w:spacing w:line="222" w:lineRule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9"/>
          <w:pgMar w:top="1422" w:right="1785" w:bottom="0" w:left="1110" w:header="0" w:footer="0" w:gutter="0"/>
          <w:cols w:space="720" w:num="1"/>
        </w:sectPr>
      </w:pPr>
    </w:p>
    <w:p w14:paraId="26A0685C">
      <w:pPr>
        <w:spacing w:before="72" w:line="222" w:lineRule="auto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12"/>
          <w:sz w:val="36"/>
          <w:szCs w:val="36"/>
        </w:rPr>
        <w:t>第一部分：</w:t>
      </w:r>
    </w:p>
    <w:p w14:paraId="0E6192E6">
      <w:pPr>
        <w:spacing w:before="352" w:line="220" w:lineRule="auto"/>
        <w:ind w:left="2887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pacing w:val="-4"/>
          <w:sz w:val="36"/>
          <w:szCs w:val="36"/>
          <w:lang w:val="en-US" w:eastAsia="zh-CN"/>
        </w:rPr>
        <w:t>6</w:t>
      </w: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年部门预算公开说明</w:t>
      </w:r>
    </w:p>
    <w:p w14:paraId="7F5315AC">
      <w:pPr>
        <w:spacing w:line="290" w:lineRule="auto"/>
        <w:rPr>
          <w:rFonts w:ascii="Arial"/>
          <w:sz w:val="21"/>
        </w:rPr>
      </w:pPr>
    </w:p>
    <w:p w14:paraId="02DD247F">
      <w:pPr>
        <w:spacing w:before="104" w:line="221" w:lineRule="auto"/>
        <w:ind w:left="630"/>
        <w:outlineLvl w:val="0"/>
        <w:rPr>
          <w:rFonts w:ascii="黑体" w:hAnsi="黑体" w:eastAsia="黑体" w:cs="黑体"/>
          <w:sz w:val="32"/>
          <w:szCs w:val="32"/>
        </w:rPr>
      </w:pPr>
      <w:bookmarkStart w:id="0" w:name="bookmark1"/>
      <w:bookmarkEnd w:id="0"/>
      <w:r>
        <w:rPr>
          <w:rFonts w:ascii="黑体" w:hAnsi="黑体" w:eastAsia="黑体" w:cs="黑体"/>
          <w:spacing w:val="-4"/>
          <w:sz w:val="32"/>
          <w:szCs w:val="32"/>
        </w:rPr>
        <w:t>一、部门基本概况</w:t>
      </w:r>
    </w:p>
    <w:p w14:paraId="4C3C0D0F">
      <w:pPr>
        <w:spacing w:before="33" w:line="225" w:lineRule="auto"/>
        <w:ind w:left="64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7"/>
          <w:sz w:val="32"/>
          <w:szCs w:val="32"/>
        </w:rPr>
        <w:t>（一）职能职责</w:t>
      </w:r>
    </w:p>
    <w:p w14:paraId="05DE1128">
      <w:pPr>
        <w:pStyle w:val="2"/>
        <w:spacing w:before="28" w:line="236" w:lineRule="auto"/>
        <w:ind w:left="7" w:firstLine="654"/>
      </w:pPr>
      <w:r>
        <w:rPr>
          <w:spacing w:val="-3"/>
        </w:rPr>
        <w:t>1、加强党的建设。落实基层党建工作责任制，严格抓好基层党</w:t>
      </w:r>
      <w:r>
        <w:rPr>
          <w:spacing w:val="-1"/>
        </w:rPr>
        <w:t>组织建设各项制度，统筹抓好基层党建工作。推进全面从严治党，强</w:t>
      </w:r>
      <w:r>
        <w:rPr>
          <w:spacing w:val="-4"/>
        </w:rPr>
        <w:t>化“两个责任</w:t>
      </w:r>
      <w:r>
        <w:rPr>
          <w:spacing w:val="-105"/>
        </w:rPr>
        <w:t xml:space="preserve"> </w:t>
      </w:r>
      <w:r>
        <w:rPr>
          <w:spacing w:val="-4"/>
        </w:rPr>
        <w:t>”，全面落实基层党支部“五化</w:t>
      </w:r>
      <w:r>
        <w:rPr>
          <w:spacing w:val="-118"/>
        </w:rPr>
        <w:t xml:space="preserve"> </w:t>
      </w:r>
      <w:r>
        <w:rPr>
          <w:spacing w:val="-4"/>
        </w:rPr>
        <w:t>”建设全面加强基层宣</w:t>
      </w:r>
      <w:r>
        <w:rPr>
          <w:spacing w:val="-1"/>
        </w:rPr>
        <w:t>传思想文化工作，强化党建引领基层治理，进步增强党在基层的政治</w:t>
      </w:r>
      <w:r>
        <w:rPr>
          <w:spacing w:val="-3"/>
        </w:rPr>
        <w:t>领导力、思想引领力、群众组织力、社会号召。</w:t>
      </w:r>
    </w:p>
    <w:p w14:paraId="7B806DB8">
      <w:pPr>
        <w:pStyle w:val="2"/>
        <w:spacing w:before="27" w:line="237" w:lineRule="auto"/>
        <w:ind w:left="6" w:firstLine="635"/>
      </w:pPr>
      <w:r>
        <w:rPr>
          <w:spacing w:val="-2"/>
        </w:rPr>
        <w:t>2、加强公共管理。推进区域发展，全面实施乡村振兴战路，统</w:t>
      </w:r>
      <w:r>
        <w:rPr>
          <w:spacing w:val="-1"/>
        </w:rPr>
        <w:t>筹落实辖区发展的重大决策和建设规划。实施综合管理落实辖区集镇管理、人口管理、社会管理、经济发展、综合执法、市场监管、公共服务、生态环境保护等工作，承担组织领导、推进实施、综合协调等职责。领导基层自治工作，健全完善自治为基、法治为本、德治为先</w:t>
      </w:r>
      <w:r>
        <w:rPr>
          <w:spacing w:val="-7"/>
        </w:rPr>
        <w:t>的基层治理体系。</w:t>
      </w:r>
    </w:p>
    <w:p w14:paraId="5A59E10F">
      <w:pPr>
        <w:pStyle w:val="2"/>
        <w:spacing w:before="32" w:line="233" w:lineRule="auto"/>
        <w:ind w:left="16" w:firstLine="628"/>
      </w:pPr>
      <w:r>
        <w:rPr>
          <w:spacing w:val="-2"/>
        </w:rPr>
        <w:t>3、加强公共安全。负责辖区公共安全及安全生产监管，构建公</w:t>
      </w:r>
      <w:r>
        <w:rPr>
          <w:spacing w:val="-1"/>
        </w:rPr>
        <w:t>共安全防控体系，建立应对突发紧急事件的处理预案，做好安全</w:t>
      </w:r>
      <w:r>
        <w:rPr>
          <w:spacing w:val="-2"/>
        </w:rPr>
        <w:t>生产</w:t>
      </w:r>
      <w:r>
        <w:t xml:space="preserve"> </w:t>
      </w:r>
      <w:r>
        <w:rPr>
          <w:spacing w:val="-2"/>
        </w:rPr>
        <w:t>、防汛、防火、防疫、气象灾害防御、食品药品安全等应急管理工作</w:t>
      </w:r>
    </w:p>
    <w:p w14:paraId="35775704">
      <w:pPr>
        <w:pStyle w:val="2"/>
        <w:spacing w:before="34" w:line="239" w:lineRule="auto"/>
        <w:ind w:left="8" w:right="24" w:firstLine="22"/>
        <w:jc w:val="both"/>
      </w:pPr>
      <w:r>
        <w:rPr>
          <w:spacing w:val="-3"/>
        </w:rPr>
        <w:t>。承担辖区社会治安综合治理工作，健全多元纠纷解决机制，综合发</w:t>
      </w:r>
      <w:r>
        <w:rPr>
          <w:spacing w:val="-2"/>
        </w:rPr>
        <w:t>挥人民调解、行政调解和司法调解的作用，及时化解辖区社会矛盾，</w:t>
      </w:r>
      <w:r>
        <w:rPr>
          <w:spacing w:val="-8"/>
        </w:rPr>
        <w:t>确保社会稳定。</w:t>
      </w:r>
    </w:p>
    <w:p w14:paraId="3BE38199">
      <w:pPr>
        <w:pStyle w:val="2"/>
        <w:spacing w:before="1" w:line="236" w:lineRule="auto"/>
        <w:ind w:left="6" w:firstLine="630"/>
      </w:pPr>
      <w:r>
        <w:rPr>
          <w:spacing w:val="-1"/>
        </w:rPr>
        <w:t>4、加强公共服务。组织实施与群众生活密切相关的</w:t>
      </w:r>
      <w:r>
        <w:rPr>
          <w:spacing w:val="-2"/>
        </w:rPr>
        <w:t>各项公共服</w:t>
      </w:r>
      <w:r>
        <w:rPr>
          <w:spacing w:val="-1"/>
        </w:rPr>
        <w:t>务，落实人力资源和社会保障、民政、教育、文化、体育卫生健康等方面相关政策。拓宽服务渠道，改进服务方式，建立健全群众办事一次办结机制。优化营商环境，推进镇、村（社区）两级政务服务平台</w:t>
      </w:r>
      <w:r>
        <w:rPr>
          <w:spacing w:val="-4"/>
        </w:rPr>
        <w:t>标准化建设，落实“一窗受理、集成服务</w:t>
      </w:r>
      <w:r>
        <w:rPr>
          <w:spacing w:val="-100"/>
        </w:rPr>
        <w:t xml:space="preserve"> </w:t>
      </w:r>
      <w:r>
        <w:rPr>
          <w:spacing w:val="-4"/>
        </w:rPr>
        <w:t>”的行政审批服务改革。</w:t>
      </w:r>
    </w:p>
    <w:p w14:paraId="4981D80E">
      <w:pPr>
        <w:pStyle w:val="2"/>
        <w:spacing w:before="33" w:line="222" w:lineRule="auto"/>
        <w:ind w:left="644"/>
      </w:pPr>
      <w:r>
        <w:rPr>
          <w:spacing w:val="-3"/>
        </w:rPr>
        <w:t>5、完成法律、法规、规章规定的和上级交办的其他事项。</w:t>
      </w:r>
    </w:p>
    <w:p w14:paraId="4C0AB1E9">
      <w:pPr>
        <w:spacing w:before="33" w:line="229" w:lineRule="auto"/>
        <w:ind w:left="647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8"/>
          <w:sz w:val="32"/>
          <w:szCs w:val="32"/>
        </w:rPr>
        <w:t>（二）机构设置</w:t>
      </w:r>
    </w:p>
    <w:p w14:paraId="01697D6A">
      <w:pPr>
        <w:pStyle w:val="2"/>
        <w:spacing w:before="21"/>
        <w:ind w:left="7" w:firstLine="628"/>
      </w:pPr>
      <w:r>
        <w:rPr>
          <w:spacing w:val="-1"/>
        </w:rPr>
        <w:t>长沙市望城区茶亭镇人民政府内设机构12个包括：党政办公室、党建办公室、经济发展办公室、民生事务办公室、民生事务办公室、平安法治和应急管理办公室、财政办公室、生态事务中心、自然资源</w:t>
      </w:r>
    </w:p>
    <w:p w14:paraId="2899DA1C">
      <w:pPr>
        <w:sectPr>
          <w:pgSz w:w="11906" w:h="16839"/>
          <w:pgMar w:top="1422" w:right="1225" w:bottom="0" w:left="1094" w:header="0" w:footer="0" w:gutter="0"/>
          <w:cols w:space="720" w:num="1"/>
        </w:sectPr>
      </w:pPr>
    </w:p>
    <w:p w14:paraId="767BEAD8">
      <w:pPr>
        <w:pStyle w:val="2"/>
        <w:spacing w:before="65"/>
        <w:ind w:left="9" w:right="146" w:hanging="1"/>
      </w:pPr>
      <w:r>
        <w:rPr>
          <w:spacing w:val="-1"/>
        </w:rPr>
        <w:t>和村镇建设事务中心、农业综合服务中心、退役军人服务站、综合行</w:t>
      </w:r>
      <w:r>
        <w:rPr>
          <w:spacing w:val="-2"/>
        </w:rPr>
        <w:t>政执法大队。本部门共有编制人数119人，实有人数11</w:t>
      </w:r>
      <w:r>
        <w:rPr>
          <w:rFonts w:hint="eastAsia"/>
          <w:spacing w:val="-2"/>
          <w:lang w:val="en-US" w:eastAsia="zh-CN"/>
        </w:rPr>
        <w:t>8</w:t>
      </w:r>
      <w:r>
        <w:rPr>
          <w:spacing w:val="-2"/>
        </w:rPr>
        <w:t>人。</w:t>
      </w:r>
    </w:p>
    <w:p w14:paraId="7CF13FC6">
      <w:pPr>
        <w:spacing w:before="1" w:line="221" w:lineRule="auto"/>
        <w:ind w:left="632"/>
        <w:outlineLvl w:val="0"/>
        <w:rPr>
          <w:rFonts w:ascii="黑体" w:hAnsi="黑体" w:eastAsia="黑体" w:cs="黑体"/>
          <w:sz w:val="32"/>
          <w:szCs w:val="32"/>
        </w:rPr>
      </w:pPr>
      <w:bookmarkStart w:id="1" w:name="bookmark2"/>
      <w:bookmarkEnd w:id="1"/>
      <w:r>
        <w:rPr>
          <w:rFonts w:ascii="黑体" w:hAnsi="黑体" w:eastAsia="黑体" w:cs="黑体"/>
          <w:spacing w:val="-2"/>
          <w:sz w:val="32"/>
          <w:szCs w:val="32"/>
        </w:rPr>
        <w:t>二、部门预算单位构成</w:t>
      </w:r>
    </w:p>
    <w:p w14:paraId="702BD145">
      <w:pPr>
        <w:pStyle w:val="2"/>
        <w:spacing w:before="31"/>
        <w:ind w:left="7" w:right="146" w:firstLine="627"/>
        <w:jc w:val="both"/>
      </w:pPr>
      <w:r>
        <w:rPr>
          <w:spacing w:val="-1"/>
        </w:rPr>
        <w:t>长沙市望城区茶亭镇人民政府部门只有本级，没有其他二级预算单位，因此，纳入202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年部门预算编制范围的只有长沙市望城区茶亭</w:t>
      </w:r>
      <w:r>
        <w:rPr>
          <w:spacing w:val="-6"/>
        </w:rPr>
        <w:t>镇人民政府部门本级。</w:t>
      </w:r>
    </w:p>
    <w:p w14:paraId="2F9BAB56">
      <w:pPr>
        <w:spacing w:line="223" w:lineRule="auto"/>
        <w:ind w:left="633"/>
        <w:outlineLvl w:val="0"/>
        <w:rPr>
          <w:rFonts w:ascii="黑体" w:hAnsi="黑体" w:eastAsia="黑体" w:cs="黑体"/>
          <w:sz w:val="32"/>
          <w:szCs w:val="32"/>
        </w:rPr>
      </w:pPr>
      <w:bookmarkStart w:id="2" w:name="bookmark3"/>
      <w:bookmarkEnd w:id="2"/>
      <w:r>
        <w:rPr>
          <w:rFonts w:ascii="黑体" w:hAnsi="黑体" w:eastAsia="黑体" w:cs="黑体"/>
          <w:spacing w:val="-2"/>
          <w:sz w:val="32"/>
          <w:szCs w:val="32"/>
        </w:rPr>
        <w:t>三、部门收支总体情况</w:t>
      </w:r>
    </w:p>
    <w:p w14:paraId="28A7FC51">
      <w:pPr>
        <w:pStyle w:val="2"/>
        <w:spacing w:before="32" w:line="233" w:lineRule="auto"/>
        <w:ind w:left="15" w:right="146" w:firstLine="634"/>
      </w:pPr>
      <w:r>
        <w:rPr>
          <w:rFonts w:ascii="楷体" w:hAnsi="楷体" w:eastAsia="楷体" w:cs="楷体"/>
          <w:spacing w:val="-1"/>
        </w:rPr>
        <w:t>（一）收入预算：</w:t>
      </w:r>
      <w:r>
        <w:rPr>
          <w:spacing w:val="-1"/>
        </w:rPr>
        <w:t>包括一般公共预算、政府性基</w:t>
      </w:r>
      <w:r>
        <w:rPr>
          <w:spacing w:val="-2"/>
        </w:rPr>
        <w:t>金、国有资本经</w:t>
      </w:r>
      <w:r>
        <w:rPr>
          <w:spacing w:val="-1"/>
        </w:rPr>
        <w:t>营预算等财政拨款收入，以及经营收入、事业收入等单位资金。202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年本部门收入预算</w:t>
      </w:r>
      <w:r>
        <w:rPr>
          <w:rFonts w:hint="eastAsia"/>
          <w:spacing w:val="-1"/>
          <w:lang w:val="en-US" w:eastAsia="zh-CN"/>
        </w:rPr>
        <w:t>25682.98</w:t>
      </w:r>
      <w:r>
        <w:rPr>
          <w:spacing w:val="-1"/>
        </w:rPr>
        <w:t>万元，其中，一般公共预算拨款收入</w:t>
      </w:r>
    </w:p>
    <w:p w14:paraId="09621F59">
      <w:pPr>
        <w:pStyle w:val="2"/>
        <w:spacing w:before="31" w:line="230" w:lineRule="auto"/>
        <w:ind w:left="11" w:firstLine="11"/>
        <w:rPr>
          <w:rFonts w:hint="eastAsia" w:eastAsia="仿宋"/>
          <w:lang w:val="en-US" w:eastAsia="zh-CN"/>
        </w:rPr>
      </w:pPr>
      <w:r>
        <w:rPr>
          <w:rFonts w:hint="eastAsia"/>
          <w:spacing w:val="-1"/>
          <w:lang w:val="en-US" w:eastAsia="zh-CN"/>
        </w:rPr>
        <w:t>15797.98</w:t>
      </w:r>
      <w:r>
        <w:rPr>
          <w:spacing w:val="-1"/>
        </w:rPr>
        <w:t>万元，政府性基金预算拨款收入1,885万元</w:t>
      </w:r>
      <w:r>
        <w:rPr>
          <w:spacing w:val="-2"/>
        </w:rPr>
        <w:t>，其他收入8,000万元。</w:t>
      </w:r>
      <w:r>
        <w:rPr>
          <w:rFonts w:hint="eastAsia"/>
          <w:spacing w:val="-2"/>
          <w:lang w:eastAsia="zh-CN"/>
        </w:rPr>
        <w:t>收入较去年增加</w:t>
      </w:r>
      <w:r>
        <w:rPr>
          <w:rFonts w:hint="eastAsia"/>
          <w:spacing w:val="-2"/>
          <w:lang w:val="en-US" w:eastAsia="zh-CN"/>
        </w:rPr>
        <w:t>53.64万元，原因是预算增加。</w:t>
      </w:r>
    </w:p>
    <w:p w14:paraId="6905668D">
      <w:pPr>
        <w:pStyle w:val="2"/>
        <w:spacing w:before="36" w:line="233" w:lineRule="auto"/>
        <w:ind w:left="7" w:firstLine="641"/>
      </w:pPr>
      <w:r>
        <w:rPr>
          <w:rFonts w:ascii="楷体" w:hAnsi="楷体" w:eastAsia="楷体" w:cs="楷体"/>
          <w:spacing w:val="-1"/>
        </w:rPr>
        <w:t>（二）支出预算：</w:t>
      </w:r>
      <w:r>
        <w:rPr>
          <w:spacing w:val="-1"/>
        </w:rPr>
        <w:t>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年本部门支出预算</w:t>
      </w:r>
      <w:r>
        <w:rPr>
          <w:rFonts w:hint="eastAsia"/>
          <w:spacing w:val="-1"/>
          <w:lang w:val="en-US" w:eastAsia="zh-CN"/>
        </w:rPr>
        <w:t>25682.98</w:t>
      </w:r>
      <w:r>
        <w:rPr>
          <w:spacing w:val="-1"/>
        </w:rPr>
        <w:t>万元。一</w:t>
      </w:r>
      <w:r>
        <w:rPr>
          <w:spacing w:val="-2"/>
        </w:rPr>
        <w:t>般公</w:t>
      </w:r>
      <w:r>
        <w:rPr>
          <w:spacing w:val="-1"/>
        </w:rPr>
        <w:t>共服务支出</w:t>
      </w:r>
      <w:r>
        <w:rPr>
          <w:rFonts w:hint="eastAsia"/>
          <w:spacing w:val="-1"/>
          <w:lang w:val="en-US" w:eastAsia="zh-CN"/>
        </w:rPr>
        <w:t>2226.01</w:t>
      </w:r>
      <w:r>
        <w:rPr>
          <w:spacing w:val="-1"/>
        </w:rPr>
        <w:t>万元，国防支出3.3万元，公共安全支出36万元，教育支出100万元，科学技术支出90万元，文化旅游体育与传媒支出</w:t>
      </w:r>
    </w:p>
    <w:p w14:paraId="533FCECA">
      <w:pPr>
        <w:pStyle w:val="2"/>
        <w:spacing w:before="32" w:line="230" w:lineRule="auto"/>
        <w:ind w:left="30" w:hanging="24"/>
      </w:pPr>
      <w:r>
        <w:rPr>
          <w:spacing w:val="-1"/>
        </w:rPr>
        <w:t>790万元，社会保障和就业支出</w:t>
      </w:r>
      <w:r>
        <w:rPr>
          <w:rFonts w:hint="eastAsia"/>
          <w:spacing w:val="-1"/>
          <w:lang w:val="en-US" w:eastAsia="zh-CN"/>
        </w:rPr>
        <w:t>610.72</w:t>
      </w:r>
      <w:r>
        <w:rPr>
          <w:spacing w:val="-1"/>
        </w:rPr>
        <w:t>万元，卫生健康支出</w:t>
      </w:r>
      <w:r>
        <w:rPr>
          <w:rFonts w:hint="eastAsia"/>
          <w:spacing w:val="-1"/>
          <w:lang w:val="en-US" w:eastAsia="zh-CN"/>
        </w:rPr>
        <w:t>159.45</w:t>
      </w:r>
      <w:r>
        <w:rPr>
          <w:spacing w:val="-1"/>
        </w:rPr>
        <w:t>万元</w:t>
      </w:r>
      <w:r>
        <w:rPr>
          <w:spacing w:val="4"/>
        </w:rPr>
        <w:t xml:space="preserve"> </w:t>
      </w:r>
      <w:r>
        <w:rPr>
          <w:spacing w:val="3"/>
        </w:rPr>
        <w:t>,节能环保支出1,300万元，城乡社区支出3,893万元，农林水支出</w:t>
      </w:r>
    </w:p>
    <w:p w14:paraId="4AB94279">
      <w:pPr>
        <w:pStyle w:val="2"/>
        <w:spacing w:before="35" w:line="233" w:lineRule="auto"/>
        <w:ind w:right="146" w:firstLine="1"/>
      </w:pPr>
      <w:r>
        <w:t>6,700万元，交通运输支出1,300万元</w:t>
      </w:r>
      <w:r>
        <w:rPr>
          <w:spacing w:val="-1"/>
        </w:rPr>
        <w:t>，商业服务业等支出10万元，住</w:t>
      </w:r>
      <w:r>
        <w:t>房保障支出</w:t>
      </w:r>
      <w:r>
        <w:rPr>
          <w:rFonts w:hint="eastAsia"/>
          <w:lang w:val="en-US" w:eastAsia="zh-CN"/>
        </w:rPr>
        <w:t>279.5</w:t>
      </w:r>
      <w:r>
        <w:t>万元，灾害防治及应急</w:t>
      </w:r>
      <w:r>
        <w:rPr>
          <w:spacing w:val="-1"/>
        </w:rPr>
        <w:t>管理支出100万元，其他支出</w:t>
      </w:r>
      <w:r>
        <w:rPr>
          <w:spacing w:val="-2"/>
        </w:rPr>
        <w:t>8,085万元。支出较去年</w:t>
      </w:r>
      <w:r>
        <w:rPr>
          <w:rFonts w:hint="eastAsia"/>
          <w:spacing w:val="-2"/>
          <w:lang w:eastAsia="zh-CN"/>
        </w:rPr>
        <w:t>增加</w:t>
      </w:r>
      <w:r>
        <w:rPr>
          <w:rFonts w:hint="eastAsia"/>
          <w:spacing w:val="-2"/>
          <w:lang w:val="en-US" w:eastAsia="zh-CN"/>
        </w:rPr>
        <w:t>53.64</w:t>
      </w:r>
      <w:r>
        <w:rPr>
          <w:spacing w:val="-2"/>
        </w:rPr>
        <w:t>万元，主要是</w:t>
      </w:r>
      <w:r>
        <w:rPr>
          <w:rFonts w:hint="eastAsia"/>
          <w:spacing w:val="-2"/>
          <w:lang w:eastAsia="zh-CN"/>
        </w:rPr>
        <w:t>预算增加</w:t>
      </w:r>
      <w:r>
        <w:rPr>
          <w:spacing w:val="-2"/>
        </w:rPr>
        <w:t>。</w:t>
      </w:r>
    </w:p>
    <w:p w14:paraId="38851D24">
      <w:pPr>
        <w:spacing w:before="33" w:line="221" w:lineRule="auto"/>
        <w:ind w:left="678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四、一般公共预算拨款支出</w:t>
      </w:r>
    </w:p>
    <w:p w14:paraId="265AEE95">
      <w:pPr>
        <w:pStyle w:val="2"/>
        <w:spacing w:before="34"/>
        <w:ind w:left="12" w:right="286" w:firstLine="650"/>
      </w:pPr>
      <w:r>
        <w:rPr>
          <w:spacing w:val="-1"/>
        </w:rPr>
        <w:t>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年本部门一般公共预算拨款支出预算</w:t>
      </w:r>
      <w:r>
        <w:rPr>
          <w:rFonts w:hint="eastAsia"/>
          <w:spacing w:val="-1"/>
          <w:lang w:val="en-US" w:eastAsia="zh-CN"/>
        </w:rPr>
        <w:t>15797.38</w:t>
      </w:r>
      <w:r>
        <w:rPr>
          <w:spacing w:val="-1"/>
        </w:rPr>
        <w:t>万元，具体</w:t>
      </w:r>
      <w:r>
        <w:rPr>
          <w:spacing w:val="-12"/>
        </w:rPr>
        <w:t>安排情况如下：</w:t>
      </w:r>
    </w:p>
    <w:p w14:paraId="132E38AE">
      <w:pPr>
        <w:pStyle w:val="2"/>
        <w:spacing w:before="2" w:line="236" w:lineRule="auto"/>
        <w:ind w:left="9" w:right="146" w:firstLine="671"/>
      </w:pPr>
      <w:r>
        <w:rPr>
          <w:rFonts w:ascii="楷体" w:hAnsi="楷体" w:eastAsia="楷体" w:cs="楷体"/>
          <w:spacing w:val="-2"/>
        </w:rPr>
        <w:t>（一）基本支出：</w:t>
      </w:r>
      <w:r>
        <w:rPr>
          <w:spacing w:val="-2"/>
        </w:rPr>
        <w:t>202</w:t>
      </w:r>
      <w:r>
        <w:rPr>
          <w:rFonts w:hint="eastAsia"/>
          <w:spacing w:val="-2"/>
          <w:lang w:val="en-US" w:eastAsia="zh-CN"/>
        </w:rPr>
        <w:t>6</w:t>
      </w:r>
      <w:r>
        <w:rPr>
          <w:spacing w:val="-2"/>
        </w:rPr>
        <w:t>年本部门基本支出预算数</w:t>
      </w:r>
      <w:r>
        <w:rPr>
          <w:rFonts w:hint="eastAsia"/>
          <w:spacing w:val="-2"/>
          <w:lang w:val="en-US" w:eastAsia="zh-CN"/>
        </w:rPr>
        <w:t>3275.68</w:t>
      </w:r>
      <w:r>
        <w:rPr>
          <w:spacing w:val="-2"/>
        </w:rPr>
        <w:t>万元，</w:t>
      </w:r>
      <w:r>
        <w:rPr>
          <w:spacing w:val="-1"/>
        </w:rPr>
        <w:t>是指为保障单位机构正常运转、完成日常工作任务而发生的各项支出</w:t>
      </w:r>
      <w:r>
        <w:rPr>
          <w:spacing w:val="6"/>
        </w:rPr>
        <w:t xml:space="preserve"> </w:t>
      </w:r>
      <w:r>
        <w:rPr>
          <w:spacing w:val="4"/>
        </w:rPr>
        <w:t>,包括用于基本工资、津贴补贴等人员经费以及办公费、</w:t>
      </w:r>
      <w:r>
        <w:rPr>
          <w:spacing w:val="3"/>
        </w:rPr>
        <w:t>印刷费、水</w:t>
      </w:r>
      <w:r>
        <w:rPr>
          <w:spacing w:val="-1"/>
        </w:rPr>
        <w:t>电费、办公设备购置等日常公用经费。其中人员经费</w:t>
      </w:r>
      <w:r>
        <w:rPr>
          <w:rFonts w:hint="eastAsia"/>
          <w:spacing w:val="-1"/>
          <w:lang w:val="en-US" w:eastAsia="zh-CN"/>
        </w:rPr>
        <w:t>3172.18</w:t>
      </w:r>
      <w:r>
        <w:rPr>
          <w:spacing w:val="-1"/>
        </w:rPr>
        <w:t>万元，</w:t>
      </w:r>
      <w:r>
        <w:rPr>
          <w:spacing w:val="-6"/>
        </w:rPr>
        <w:t>公用经费10</w:t>
      </w:r>
      <w:r>
        <w:rPr>
          <w:rFonts w:hint="eastAsia"/>
          <w:spacing w:val="-6"/>
          <w:lang w:val="en-US" w:eastAsia="zh-CN"/>
        </w:rPr>
        <w:t>3.</w:t>
      </w:r>
      <w:r>
        <w:rPr>
          <w:spacing w:val="-6"/>
        </w:rPr>
        <w:t>5万元。</w:t>
      </w:r>
    </w:p>
    <w:p w14:paraId="35A2CC44">
      <w:pPr>
        <w:pStyle w:val="2"/>
        <w:spacing w:before="27" w:line="236" w:lineRule="auto"/>
        <w:ind w:left="5" w:right="126" w:firstLine="675"/>
      </w:pPr>
      <w:r>
        <w:rPr>
          <w:rFonts w:ascii="楷体" w:hAnsi="楷体" w:eastAsia="楷体" w:cs="楷体"/>
          <w:spacing w:val="-1"/>
        </w:rPr>
        <w:t>（二）项目支出：</w:t>
      </w:r>
      <w:r>
        <w:rPr>
          <w:spacing w:val="-1"/>
        </w:rPr>
        <w:t>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年本部门项目支出预算</w:t>
      </w:r>
      <w:r>
        <w:rPr>
          <w:rFonts w:hint="eastAsia"/>
          <w:spacing w:val="-1"/>
          <w:lang w:val="en-US" w:eastAsia="zh-CN"/>
        </w:rPr>
        <w:t>12522.3</w:t>
      </w:r>
      <w:r>
        <w:rPr>
          <w:spacing w:val="-1"/>
        </w:rPr>
        <w:t>万元，是指单位为完成特定行政工作任务或事业发展目标而发生的支出，包括有关事业发展专项、专项业务费、基本建设支出、对街镇专项补助等</w:t>
      </w:r>
      <w:r>
        <w:rPr>
          <w:spacing w:val="11"/>
        </w:rPr>
        <w:t xml:space="preserve"> </w:t>
      </w:r>
      <w:r>
        <w:rPr>
          <w:spacing w:val="4"/>
        </w:rPr>
        <w:t>,其中：主要用</w:t>
      </w:r>
      <w:r>
        <w:rPr>
          <w:spacing w:val="-1"/>
        </w:rPr>
        <w:t>于机关运行等方面；民兵3.3万元，主要用于民兵训练、征兵等方面</w:t>
      </w:r>
    </w:p>
    <w:p w14:paraId="2249C8D4">
      <w:pPr>
        <w:spacing w:line="236" w:lineRule="auto"/>
        <w:sectPr>
          <w:pgSz w:w="11906" w:h="16839"/>
          <w:pgMar w:top="1424" w:right="1079" w:bottom="0" w:left="1092" w:header="0" w:footer="0" w:gutter="0"/>
          <w:cols w:space="720" w:num="1"/>
        </w:sectPr>
      </w:pPr>
    </w:p>
    <w:p w14:paraId="12AFD54D">
      <w:pPr>
        <w:pStyle w:val="2"/>
        <w:spacing w:before="72" w:line="239" w:lineRule="auto"/>
        <w:ind w:right="146" w:firstLine="31"/>
      </w:pPr>
      <w:r>
        <w:rPr>
          <w:spacing w:val="-2"/>
        </w:rPr>
        <w:t>；普法宣传36万元，主要用于法律宣传、讲座等方面；其他普通教育</w:t>
      </w:r>
      <w:r>
        <w:rPr>
          <w:spacing w:val="-1"/>
        </w:rPr>
        <w:t>支出100万元，主要用于学校建设等方面；其他技术研究与开发支出</w:t>
      </w:r>
      <w:r>
        <w:rPr>
          <w:spacing w:val="8"/>
        </w:rPr>
        <w:t xml:space="preserve"> </w:t>
      </w:r>
      <w:r>
        <w:rPr>
          <w:spacing w:val="-1"/>
        </w:rPr>
        <w:t>90万元，主要用于对企业的补助等方面；文化产业发展专项支出790万元，主要用于农文旅融合、文物保护等方面；生态保护1,300万元</w:t>
      </w:r>
      <w:r>
        <w:rPr>
          <w:spacing w:val="9"/>
        </w:rPr>
        <w:t xml:space="preserve">  </w:t>
      </w:r>
      <w:r>
        <w:rPr>
          <w:spacing w:val="4"/>
        </w:rPr>
        <w:t>,主要用于环境保护等方面；其他城乡社区管理事务支出2,093万元</w:t>
      </w:r>
      <w:r>
        <w:rPr>
          <w:spacing w:val="9"/>
        </w:rPr>
        <w:t xml:space="preserve">  </w:t>
      </w:r>
      <w:r>
        <w:rPr>
          <w:spacing w:val="4"/>
        </w:rPr>
        <w:t>,主要用于环境卫生、拆违控卫等方面；其他农业农村支出6,700万</w:t>
      </w:r>
      <w:r>
        <w:rPr>
          <w:spacing w:val="-1"/>
        </w:rPr>
        <w:t>元，主要用于农林水支出等方面；公路建设1,300万元，主要用于乡村公路建设、维修等方面；其他商业流通事务支出10万元，主要用于</w:t>
      </w:r>
      <w:r>
        <w:rPr>
          <w:spacing w:val="-2"/>
        </w:rPr>
        <w:t>招商引资等方面；其他应急管理事务100万元，主要用于防汛抗旱、</w:t>
      </w:r>
    </w:p>
    <w:p w14:paraId="799DFE54">
      <w:pPr>
        <w:pStyle w:val="2"/>
        <w:spacing w:line="222" w:lineRule="auto"/>
        <w:ind w:left="12"/>
      </w:pPr>
      <w:r>
        <w:rPr>
          <w:spacing w:val="-5"/>
        </w:rPr>
        <w:t>森林防火、冰雪灾害等方面。</w:t>
      </w:r>
    </w:p>
    <w:p w14:paraId="2E4FAA1D">
      <w:pPr>
        <w:spacing w:before="30" w:line="222" w:lineRule="auto"/>
        <w:ind w:left="668"/>
        <w:outlineLvl w:val="0"/>
        <w:rPr>
          <w:rFonts w:ascii="黑体" w:hAnsi="黑体" w:eastAsia="黑体" w:cs="黑体"/>
          <w:sz w:val="32"/>
          <w:szCs w:val="32"/>
        </w:rPr>
      </w:pPr>
      <w:bookmarkStart w:id="3" w:name="bookmark5"/>
      <w:bookmarkEnd w:id="3"/>
      <w:r>
        <w:rPr>
          <w:rFonts w:ascii="黑体" w:hAnsi="黑体" w:eastAsia="黑体" w:cs="黑体"/>
          <w:spacing w:val="-2"/>
          <w:sz w:val="32"/>
          <w:szCs w:val="32"/>
        </w:rPr>
        <w:t>五、政府性基金预算支出</w:t>
      </w:r>
    </w:p>
    <w:p w14:paraId="11AA066C">
      <w:pPr>
        <w:pStyle w:val="2"/>
        <w:spacing w:before="32"/>
        <w:ind w:left="22" w:right="286" w:firstLine="640"/>
      </w:pPr>
      <w:r>
        <w:rPr>
          <w:spacing w:val="-1"/>
        </w:rPr>
        <w:t>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年本部门政府性基金支出预算1,885万元，其中，基本支出1,885万元，占100%；项目支出1,885万元，占1</w:t>
      </w:r>
      <w:r>
        <w:rPr>
          <w:spacing w:val="-2"/>
        </w:rPr>
        <w:t>00%。</w:t>
      </w:r>
    </w:p>
    <w:p w14:paraId="715C81A8">
      <w:pPr>
        <w:spacing w:line="221" w:lineRule="auto"/>
        <w:ind w:left="669"/>
        <w:outlineLvl w:val="0"/>
        <w:rPr>
          <w:rFonts w:ascii="黑体" w:hAnsi="黑体" w:eastAsia="黑体" w:cs="黑体"/>
          <w:sz w:val="32"/>
          <w:szCs w:val="32"/>
        </w:rPr>
      </w:pPr>
      <w:bookmarkStart w:id="4" w:name="bookmark6"/>
      <w:bookmarkEnd w:id="4"/>
      <w:r>
        <w:rPr>
          <w:rFonts w:ascii="黑体" w:hAnsi="黑体" w:eastAsia="黑体" w:cs="黑体"/>
          <w:spacing w:val="-2"/>
          <w:sz w:val="32"/>
          <w:szCs w:val="32"/>
        </w:rPr>
        <w:t>六、其他重要事项的情况说明</w:t>
      </w:r>
    </w:p>
    <w:p w14:paraId="1E13FF91">
      <w:pPr>
        <w:spacing w:before="34" w:line="225" w:lineRule="auto"/>
        <w:ind w:left="68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8"/>
          <w:sz w:val="32"/>
          <w:szCs w:val="32"/>
        </w:rPr>
        <w:t>（一）机关运行经费</w:t>
      </w:r>
    </w:p>
    <w:p w14:paraId="2F53DE38">
      <w:pPr>
        <w:pStyle w:val="2"/>
        <w:spacing w:before="27"/>
        <w:ind w:left="45" w:right="192" w:firstLine="617"/>
      </w:pPr>
      <w:r>
        <w:rPr>
          <w:spacing w:val="-3"/>
        </w:rPr>
        <w:t>202</w:t>
      </w:r>
      <w:r>
        <w:rPr>
          <w:rFonts w:hint="eastAsia"/>
          <w:spacing w:val="-3"/>
          <w:lang w:val="en-US" w:eastAsia="zh-CN"/>
        </w:rPr>
        <w:t>6</w:t>
      </w:r>
      <w:r>
        <w:rPr>
          <w:spacing w:val="-3"/>
        </w:rPr>
        <w:t>年本部门机关运行经费10</w:t>
      </w:r>
      <w:r>
        <w:rPr>
          <w:rFonts w:hint="eastAsia"/>
          <w:spacing w:val="-3"/>
          <w:lang w:val="en-US" w:eastAsia="zh-CN"/>
        </w:rPr>
        <w:t>3.5</w:t>
      </w:r>
      <w:r>
        <w:rPr>
          <w:spacing w:val="-3"/>
        </w:rPr>
        <w:t>万元，比上年预算</w:t>
      </w:r>
      <w:r>
        <w:rPr>
          <w:rFonts w:hint="eastAsia"/>
          <w:spacing w:val="-3"/>
          <w:lang w:eastAsia="zh-CN"/>
        </w:rPr>
        <w:t>减少</w:t>
      </w:r>
      <w:r>
        <w:rPr>
          <w:rFonts w:hint="eastAsia"/>
          <w:spacing w:val="-3"/>
          <w:lang w:val="en-US" w:eastAsia="zh-CN"/>
        </w:rPr>
        <w:t>1.5</w:t>
      </w:r>
      <w:r>
        <w:rPr>
          <w:spacing w:val="-3"/>
        </w:rPr>
        <w:t>万元，</w:t>
      </w:r>
      <w:r>
        <w:rPr>
          <w:spacing w:val="-5"/>
        </w:rPr>
        <w:t>比上年预算</w:t>
      </w:r>
      <w:r>
        <w:rPr>
          <w:rFonts w:hint="eastAsia"/>
          <w:spacing w:val="-5"/>
          <w:lang w:eastAsia="zh-CN"/>
        </w:rPr>
        <w:t>减少</w:t>
      </w:r>
      <w:r>
        <w:rPr>
          <w:rFonts w:hint="eastAsia"/>
          <w:spacing w:val="-5"/>
          <w:lang w:val="en-US" w:eastAsia="zh-CN"/>
        </w:rPr>
        <w:t>1.43</w:t>
      </w:r>
      <w:r>
        <w:rPr>
          <w:spacing w:val="-5"/>
        </w:rPr>
        <w:t>%，主要原因是人员</w:t>
      </w:r>
      <w:r>
        <w:rPr>
          <w:rFonts w:hint="eastAsia"/>
          <w:spacing w:val="-5"/>
          <w:lang w:eastAsia="zh-CN"/>
        </w:rPr>
        <w:t>减少</w:t>
      </w:r>
      <w:r>
        <w:rPr>
          <w:spacing w:val="-5"/>
        </w:rPr>
        <w:t>。</w:t>
      </w:r>
    </w:p>
    <w:p w14:paraId="2B22125A">
      <w:pPr>
        <w:spacing w:line="225" w:lineRule="auto"/>
        <w:ind w:left="68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7"/>
          <w:sz w:val="32"/>
          <w:szCs w:val="32"/>
        </w:rPr>
        <w:t>（二）“三公</w:t>
      </w:r>
      <w:r>
        <w:rPr>
          <w:rFonts w:ascii="楷体" w:hAnsi="楷体" w:eastAsia="楷体" w:cs="楷体"/>
          <w:spacing w:val="-113"/>
          <w:sz w:val="32"/>
          <w:szCs w:val="32"/>
        </w:rPr>
        <w:t xml:space="preserve"> </w:t>
      </w:r>
      <w:r>
        <w:rPr>
          <w:rFonts w:ascii="楷体" w:hAnsi="楷体" w:eastAsia="楷体" w:cs="楷体"/>
          <w:spacing w:val="-7"/>
          <w:sz w:val="32"/>
          <w:szCs w:val="32"/>
        </w:rPr>
        <w:t>”经费预算</w:t>
      </w:r>
    </w:p>
    <w:p w14:paraId="65A1A926">
      <w:pPr>
        <w:pStyle w:val="2"/>
        <w:spacing w:before="25"/>
        <w:ind w:left="22" w:firstLine="640"/>
        <w:jc w:val="both"/>
      </w:pPr>
      <w:r>
        <w:rPr>
          <w:spacing w:val="-2"/>
        </w:rPr>
        <w:t>202</w:t>
      </w:r>
      <w:r>
        <w:rPr>
          <w:rFonts w:hint="eastAsia"/>
          <w:spacing w:val="-2"/>
          <w:lang w:val="en-US" w:eastAsia="zh-CN"/>
        </w:rPr>
        <w:t>6</w:t>
      </w:r>
      <w:r>
        <w:rPr>
          <w:spacing w:val="-2"/>
        </w:rPr>
        <w:t>年本部门“三公</w:t>
      </w:r>
      <w:r>
        <w:rPr>
          <w:spacing w:val="-115"/>
        </w:rPr>
        <w:t xml:space="preserve"> </w:t>
      </w:r>
      <w:r>
        <w:rPr>
          <w:spacing w:val="-2"/>
        </w:rPr>
        <w:t>”经费预算数为2</w:t>
      </w:r>
      <w:r>
        <w:rPr>
          <w:rFonts w:hint="eastAsia"/>
          <w:spacing w:val="-2"/>
          <w:lang w:val="en-US" w:eastAsia="zh-CN"/>
        </w:rPr>
        <w:t>1</w:t>
      </w:r>
      <w:r>
        <w:rPr>
          <w:spacing w:val="-2"/>
        </w:rPr>
        <w:t>万元，其中，公务接待费1</w:t>
      </w:r>
      <w:r>
        <w:rPr>
          <w:rFonts w:hint="eastAsia"/>
          <w:spacing w:val="-2"/>
          <w:lang w:val="en-US" w:eastAsia="zh-CN"/>
        </w:rPr>
        <w:t>0</w:t>
      </w:r>
      <w:r>
        <w:rPr>
          <w:spacing w:val="-2"/>
        </w:rPr>
        <w:t>万元，公务用车购置及运行费1</w:t>
      </w:r>
      <w:r>
        <w:rPr>
          <w:rFonts w:hint="eastAsia"/>
          <w:spacing w:val="-2"/>
          <w:lang w:val="en-US" w:eastAsia="zh-CN"/>
        </w:rPr>
        <w:t>1</w:t>
      </w:r>
      <w:r>
        <w:rPr>
          <w:spacing w:val="-2"/>
        </w:rPr>
        <w:t>万元（其中，公务用车购置费0万元</w:t>
      </w:r>
      <w:r>
        <w:rPr>
          <w:spacing w:val="16"/>
        </w:rPr>
        <w:t xml:space="preserve"> </w:t>
      </w:r>
      <w:r>
        <w:rPr>
          <w:spacing w:val="3"/>
        </w:rPr>
        <w:t>,公务用车运行费1</w:t>
      </w:r>
      <w:r>
        <w:rPr>
          <w:rFonts w:hint="eastAsia"/>
          <w:spacing w:val="3"/>
          <w:lang w:val="en-US" w:eastAsia="zh-CN"/>
        </w:rPr>
        <w:t>1</w:t>
      </w:r>
      <w:r>
        <w:rPr>
          <w:spacing w:val="3"/>
        </w:rPr>
        <w:t>万元</w:t>
      </w:r>
      <w:r>
        <w:rPr>
          <w:spacing w:val="7"/>
        </w:rPr>
        <w:t>），</w:t>
      </w:r>
      <w:r>
        <w:rPr>
          <w:spacing w:val="3"/>
        </w:rPr>
        <w:t>因公出国（境）费0万元。202</w:t>
      </w:r>
      <w:r>
        <w:rPr>
          <w:rFonts w:hint="eastAsia"/>
          <w:spacing w:val="3"/>
          <w:lang w:val="en-US" w:eastAsia="zh-CN"/>
        </w:rPr>
        <w:t>6</w:t>
      </w:r>
      <w:r>
        <w:rPr>
          <w:spacing w:val="3"/>
        </w:rPr>
        <w:t>年“三公</w:t>
      </w:r>
      <w:r>
        <w:t xml:space="preserve"> </w:t>
      </w:r>
      <w:r>
        <w:rPr>
          <w:spacing w:val="-3"/>
        </w:rPr>
        <w:t>”经费预算较202</w:t>
      </w:r>
      <w:r>
        <w:rPr>
          <w:rFonts w:hint="eastAsia"/>
          <w:spacing w:val="-3"/>
          <w:lang w:val="en-US" w:eastAsia="zh-CN"/>
        </w:rPr>
        <w:t>5</w:t>
      </w:r>
      <w:r>
        <w:rPr>
          <w:spacing w:val="-3"/>
        </w:rPr>
        <w:t>年减少</w:t>
      </w:r>
      <w:r>
        <w:rPr>
          <w:rFonts w:hint="eastAsia"/>
          <w:spacing w:val="-3"/>
          <w:lang w:val="en-US" w:eastAsia="zh-CN"/>
        </w:rPr>
        <w:t>2</w:t>
      </w:r>
      <w:r>
        <w:rPr>
          <w:spacing w:val="-3"/>
        </w:rPr>
        <w:t>万元，主要原因是压缩开支。</w:t>
      </w:r>
    </w:p>
    <w:p w14:paraId="4200B7B0">
      <w:pPr>
        <w:spacing w:before="1" w:line="226" w:lineRule="auto"/>
        <w:ind w:left="68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4"/>
          <w:sz w:val="32"/>
          <w:szCs w:val="32"/>
        </w:rPr>
        <w:t>（三）一般性支出情况</w:t>
      </w:r>
    </w:p>
    <w:p w14:paraId="2A7E4DCA">
      <w:pPr>
        <w:pStyle w:val="2"/>
        <w:spacing w:before="21"/>
        <w:ind w:left="8" w:firstLine="653"/>
        <w:jc w:val="both"/>
      </w:pPr>
      <w:r>
        <w:rPr>
          <w:spacing w:val="-1"/>
        </w:rPr>
        <w:t>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年本部门会议费预算5万元，拟召开党员冬春训，人数120人</w:t>
      </w:r>
      <w:r>
        <w:rPr>
          <w:spacing w:val="15"/>
        </w:rPr>
        <w:t xml:space="preserve"> </w:t>
      </w:r>
      <w:r>
        <w:rPr>
          <w:spacing w:val="4"/>
        </w:rPr>
        <w:t>,会议内容为人大会、党员冬春训；培训费预算5万元，拟开展惜字新</w:t>
      </w:r>
      <w:r>
        <w:rPr>
          <w:spacing w:val="-1"/>
        </w:rPr>
        <w:t>芽班、纪检、各类业务培训，人数200人，培训内容为年轻</w:t>
      </w:r>
      <w:r>
        <w:rPr>
          <w:spacing w:val="-2"/>
        </w:rPr>
        <w:t>干部素质提</w:t>
      </w:r>
      <w:r>
        <w:rPr>
          <w:spacing w:val="-1"/>
        </w:rPr>
        <w:t>升、廉洁办公、党员教育；无举办节庆、晚会、论坛、赛事等活动的</w:t>
      </w:r>
      <w:r>
        <w:rPr>
          <w:spacing w:val="-11"/>
        </w:rPr>
        <w:t>预算经费。</w:t>
      </w:r>
    </w:p>
    <w:p w14:paraId="7935613C">
      <w:pPr>
        <w:spacing w:before="1" w:line="226" w:lineRule="auto"/>
        <w:ind w:left="68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（四）政府采购情况</w:t>
      </w:r>
    </w:p>
    <w:p w14:paraId="5406196B">
      <w:pPr>
        <w:pStyle w:val="2"/>
        <w:spacing w:before="24"/>
        <w:ind w:left="8" w:firstLine="653"/>
      </w:pPr>
      <w:r>
        <w:rPr>
          <w:spacing w:val="-2"/>
        </w:rPr>
        <w:t>202</w:t>
      </w:r>
      <w:r>
        <w:rPr>
          <w:rFonts w:hint="eastAsia"/>
          <w:spacing w:val="-2"/>
          <w:lang w:val="en-US" w:eastAsia="zh-CN"/>
        </w:rPr>
        <w:t>6</w:t>
      </w:r>
      <w:r>
        <w:rPr>
          <w:spacing w:val="-2"/>
        </w:rPr>
        <w:t>年本部门政府采购预算总额3,930万元，其中，货物类采购预算80万元；工程类采购预算3,200万元；服务类采购预算650万元。</w:t>
      </w:r>
    </w:p>
    <w:p w14:paraId="75839A10">
      <w:pPr>
        <w:spacing w:before="1" w:line="223" w:lineRule="auto"/>
        <w:ind w:left="681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3"/>
          <w:sz w:val="32"/>
          <w:szCs w:val="32"/>
        </w:rPr>
        <w:t>（五）国有资产占用使用及新增资产配置情况</w:t>
      </w:r>
    </w:p>
    <w:p w14:paraId="34730BAF">
      <w:pPr>
        <w:spacing w:line="223" w:lineRule="auto"/>
        <w:rPr>
          <w:rFonts w:ascii="楷体" w:hAnsi="楷体" w:eastAsia="楷体" w:cs="楷体"/>
          <w:sz w:val="32"/>
          <w:szCs w:val="32"/>
        </w:rPr>
        <w:sectPr>
          <w:pgSz w:w="11906" w:h="16839"/>
          <w:pgMar w:top="1424" w:right="1079" w:bottom="0" w:left="1092" w:header="0" w:footer="0" w:gutter="0"/>
          <w:cols w:space="720" w:num="1"/>
        </w:sectPr>
      </w:pPr>
    </w:p>
    <w:p w14:paraId="64F1B8A7">
      <w:pPr>
        <w:pStyle w:val="2"/>
        <w:spacing w:before="68" w:line="239" w:lineRule="auto"/>
        <w:ind w:right="20" w:firstLine="660"/>
      </w:pPr>
      <w:r>
        <w:rPr>
          <w:spacing w:val="-1"/>
        </w:rPr>
        <w:t>截至202</w:t>
      </w:r>
      <w:r>
        <w:rPr>
          <w:rFonts w:hint="eastAsia"/>
          <w:spacing w:val="-1"/>
          <w:lang w:val="en-US" w:eastAsia="zh-CN"/>
        </w:rPr>
        <w:t>5</w:t>
      </w:r>
      <w:r>
        <w:rPr>
          <w:spacing w:val="-1"/>
        </w:rPr>
        <w:t>年12月底，本部门共有公务用车4辆，其中，机要通信用车0辆，应急保障用车0辆，执法执勤用车2辆，特种专业技术用车2辆，其他按照规定配备的公务用车0辆；单位价值50万元以上通用设备0台，单位价值100万元以上专用设备0台。2025年拟新增配置公务用车0辆，其中，机要通信用车0辆，应急保障用车0辆，执法执勤用</w:t>
      </w:r>
      <w:r>
        <w:rPr>
          <w:spacing w:val="-2"/>
        </w:rPr>
        <w:t>车0辆，特种专业技术用车0辆，其他按照规定配备的公务用车0辆；</w:t>
      </w:r>
    </w:p>
    <w:p w14:paraId="564D6D25">
      <w:pPr>
        <w:pStyle w:val="2"/>
        <w:ind w:right="20"/>
      </w:pPr>
      <w:r>
        <w:rPr>
          <w:spacing w:val="-1"/>
        </w:rPr>
        <w:t>新增配备单位价值50万元以上通用设备0台，单位价值100万元以上专</w:t>
      </w:r>
      <w:r>
        <w:rPr>
          <w:spacing w:val="-8"/>
        </w:rPr>
        <w:t>用设备0台。</w:t>
      </w:r>
    </w:p>
    <w:p w14:paraId="670117CF">
      <w:pPr>
        <w:spacing w:line="227" w:lineRule="auto"/>
        <w:ind w:left="673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6"/>
          <w:sz w:val="32"/>
          <w:szCs w:val="32"/>
        </w:rPr>
        <w:t>（六）预算绩效目标说明</w:t>
      </w:r>
    </w:p>
    <w:p w14:paraId="721E199F">
      <w:pPr>
        <w:pStyle w:val="2"/>
        <w:spacing w:before="21"/>
        <w:ind w:left="6" w:firstLine="656"/>
      </w:pPr>
      <w:r>
        <w:rPr>
          <w:spacing w:val="-1"/>
        </w:rPr>
        <w:t>本部门所有支出实行绩效目标管理。纳入202</w:t>
      </w:r>
      <w:r>
        <w:rPr>
          <w:rFonts w:hint="eastAsia"/>
          <w:spacing w:val="-1"/>
          <w:lang w:val="en-US" w:eastAsia="zh-CN"/>
        </w:rPr>
        <w:t>6</w:t>
      </w:r>
      <w:r>
        <w:rPr>
          <w:spacing w:val="-1"/>
        </w:rPr>
        <w:t>年部门整体支出绩效目标的金额为</w:t>
      </w:r>
      <w:r>
        <w:rPr>
          <w:rFonts w:hint="eastAsia"/>
          <w:spacing w:val="-1"/>
          <w:lang w:val="en-US" w:eastAsia="zh-CN"/>
        </w:rPr>
        <w:t>25682.98</w:t>
      </w:r>
      <w:r>
        <w:rPr>
          <w:spacing w:val="-1"/>
        </w:rPr>
        <w:t>万元，其中，基本支出</w:t>
      </w:r>
      <w:r>
        <w:rPr>
          <w:rFonts w:hint="eastAsia"/>
          <w:spacing w:val="-1"/>
          <w:lang w:val="en-US" w:eastAsia="zh-CN"/>
        </w:rPr>
        <w:t>3275.68</w:t>
      </w:r>
      <w:r>
        <w:rPr>
          <w:spacing w:val="-1"/>
        </w:rPr>
        <w:t>万元；项</w:t>
      </w:r>
      <w:r>
        <w:rPr>
          <w:spacing w:val="-3"/>
        </w:rPr>
        <w:t>目支出</w:t>
      </w:r>
      <w:r>
        <w:rPr>
          <w:rFonts w:hint="eastAsia"/>
          <w:spacing w:val="-3"/>
          <w:lang w:val="en-US" w:eastAsia="zh-CN"/>
        </w:rPr>
        <w:t>22407.3</w:t>
      </w:r>
      <w:r>
        <w:rPr>
          <w:spacing w:val="-3"/>
        </w:rPr>
        <w:t>万元，具体绩效目标详见报表。</w:t>
      </w:r>
    </w:p>
    <w:p w14:paraId="0522EEC2">
      <w:pPr>
        <w:spacing w:before="1" w:line="222" w:lineRule="auto"/>
        <w:ind w:left="65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sz w:val="32"/>
          <w:szCs w:val="32"/>
        </w:rPr>
        <w:t>七、名词解释</w:t>
      </w:r>
    </w:p>
    <w:p w14:paraId="40B64BC7">
      <w:pPr>
        <w:pStyle w:val="2"/>
        <w:spacing w:before="36" w:line="235" w:lineRule="auto"/>
        <w:ind w:right="16" w:firstLine="655"/>
      </w:pPr>
      <w:r>
        <w:rPr>
          <w:rFonts w:ascii="楷体" w:hAnsi="楷体" w:eastAsia="楷体" w:cs="楷体"/>
          <w:spacing w:val="-1"/>
        </w:rPr>
        <w:t>（一）机关运行经费：</w:t>
      </w:r>
      <w:r>
        <w:rPr>
          <w:spacing w:val="-1"/>
        </w:rPr>
        <w:t>是指为保障行政单位（包</w:t>
      </w:r>
      <w:r>
        <w:rPr>
          <w:spacing w:val="-2"/>
        </w:rPr>
        <w:t>括参照公务员法</w:t>
      </w:r>
      <w:r>
        <w:rPr>
          <w:spacing w:val="-1"/>
        </w:rPr>
        <w:t>管理的事业单位）运行用于购买货物和服务的各项资金，包括办公及印刷费、邮电费、差旅费、会议费、福利费、日常维修费、专用资料及一般设备购置费、办公用房水电费、办公用房取暖费、办公用房物</w:t>
      </w:r>
      <w:r>
        <w:rPr>
          <w:spacing w:val="-3"/>
        </w:rPr>
        <w:t>业管理费、公务用车运行维护费以及其他费用。</w:t>
      </w:r>
    </w:p>
    <w:p w14:paraId="7460F79B">
      <w:pPr>
        <w:pStyle w:val="2"/>
        <w:spacing w:before="32" w:line="237" w:lineRule="auto"/>
        <w:ind w:right="16" w:firstLine="656"/>
      </w:pPr>
      <w:r>
        <w:rPr>
          <w:rFonts w:ascii="楷体" w:hAnsi="楷体" w:eastAsia="楷体" w:cs="楷体"/>
          <w:spacing w:val="-3"/>
        </w:rPr>
        <w:t>（二）“三公</w:t>
      </w:r>
      <w:r>
        <w:rPr>
          <w:rFonts w:ascii="楷体" w:hAnsi="楷体" w:eastAsia="楷体" w:cs="楷体"/>
          <w:spacing w:val="-111"/>
        </w:rPr>
        <w:t xml:space="preserve"> </w:t>
      </w:r>
      <w:r>
        <w:rPr>
          <w:rFonts w:ascii="楷体" w:hAnsi="楷体" w:eastAsia="楷体" w:cs="楷体"/>
          <w:spacing w:val="-3"/>
        </w:rPr>
        <w:t>”经费：</w:t>
      </w:r>
      <w:r>
        <w:rPr>
          <w:spacing w:val="-3"/>
        </w:rPr>
        <w:t>是指一般公共预算拨款安排的公务接待费</w:t>
      </w:r>
      <w:r>
        <w:t xml:space="preserve"> </w:t>
      </w:r>
      <w:r>
        <w:rPr>
          <w:spacing w:val="-2"/>
        </w:rPr>
        <w:t>、公务用车购置及运行维护费和因公出国（境）费。其中，公务接待</w:t>
      </w:r>
      <w:r>
        <w:rPr>
          <w:spacing w:val="-1"/>
        </w:rPr>
        <w:t>费反映单位按规定开支的各类公务接待支出；公务用车购置及运行费反映单位公务用车车辆购置支出（含车辆购置税</w:t>
      </w:r>
      <w:r>
        <w:rPr>
          <w:spacing w:val="3"/>
        </w:rPr>
        <w:t>），</w:t>
      </w:r>
      <w:r>
        <w:rPr>
          <w:spacing w:val="-1"/>
        </w:rPr>
        <w:t>以及燃料费、维修费、保险费等支出；因公出国（境）费反映单位公务出国（境）的</w:t>
      </w:r>
      <w:r>
        <w:rPr>
          <w:spacing w:val="-3"/>
        </w:rPr>
        <w:t>国际旅费、国外城市间交通费、食宿费等支出。</w:t>
      </w:r>
    </w:p>
    <w:p w14:paraId="62DE376E">
      <w:pPr>
        <w:spacing w:line="237" w:lineRule="auto"/>
        <w:sectPr>
          <w:pgSz w:w="11906" w:h="16839"/>
          <w:pgMar w:top="1424" w:right="1205" w:bottom="0" w:left="1100" w:header="0" w:footer="0" w:gutter="0"/>
          <w:cols w:space="720" w:num="1"/>
        </w:sectPr>
      </w:pPr>
    </w:p>
    <w:p w14:paraId="2B6C61E0">
      <w:pPr>
        <w:spacing w:before="72" w:line="222" w:lineRule="auto"/>
        <w:ind w:left="1"/>
        <w:rPr>
          <w:rFonts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13"/>
          <w:sz w:val="36"/>
          <w:szCs w:val="36"/>
        </w:rPr>
        <w:t>第二部分：</w:t>
      </w:r>
    </w:p>
    <w:p w14:paraId="6799A89A">
      <w:pPr>
        <w:spacing w:line="279" w:lineRule="auto"/>
        <w:rPr>
          <w:rFonts w:ascii="Arial"/>
          <w:sz w:val="21"/>
        </w:rPr>
      </w:pPr>
    </w:p>
    <w:p w14:paraId="1913B6EB">
      <w:pPr>
        <w:spacing w:before="117" w:line="219" w:lineRule="auto"/>
        <w:ind w:left="1985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spacing w:val="-4"/>
          <w:sz w:val="36"/>
          <w:szCs w:val="36"/>
          <w:lang w:val="en-US" w:eastAsia="zh-CN"/>
        </w:rPr>
        <w:t>6</w:t>
      </w: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年部门预算表（详见附件表格）</w:t>
      </w:r>
    </w:p>
    <w:p w14:paraId="7C77C554">
      <w:pPr>
        <w:spacing w:line="292" w:lineRule="auto"/>
        <w:rPr>
          <w:rFonts w:ascii="Arial"/>
          <w:sz w:val="21"/>
        </w:rPr>
      </w:pPr>
    </w:p>
    <w:p w14:paraId="7454DE33">
      <w:pPr>
        <w:pStyle w:val="2"/>
        <w:spacing w:before="104" w:line="223" w:lineRule="auto"/>
        <w:ind w:left="665"/>
        <w:outlineLvl w:val="0"/>
      </w:pPr>
      <w:bookmarkStart w:id="5" w:name="bookmark7"/>
      <w:bookmarkEnd w:id="5"/>
      <w:r>
        <w:rPr>
          <w:spacing w:val="-10"/>
        </w:rPr>
        <w:t>1、收支总表</w:t>
      </w:r>
    </w:p>
    <w:p w14:paraId="153113AC">
      <w:pPr>
        <w:pStyle w:val="2"/>
        <w:spacing w:before="30" w:line="223" w:lineRule="auto"/>
        <w:ind w:left="645"/>
        <w:outlineLvl w:val="0"/>
      </w:pPr>
      <w:bookmarkStart w:id="6" w:name="bookmark8"/>
      <w:bookmarkEnd w:id="6"/>
      <w:r>
        <w:rPr>
          <w:spacing w:val="-7"/>
        </w:rPr>
        <w:t>2、收入总表</w:t>
      </w:r>
    </w:p>
    <w:p w14:paraId="11502545">
      <w:pPr>
        <w:pStyle w:val="2"/>
        <w:spacing w:before="30" w:line="224" w:lineRule="auto"/>
        <w:ind w:left="648"/>
        <w:outlineLvl w:val="0"/>
      </w:pPr>
      <w:bookmarkStart w:id="7" w:name="bookmark9"/>
      <w:bookmarkEnd w:id="7"/>
      <w:r>
        <w:rPr>
          <w:spacing w:val="-7"/>
        </w:rPr>
        <w:t>3、支出总表</w:t>
      </w:r>
    </w:p>
    <w:p w14:paraId="5B79D900">
      <w:pPr>
        <w:pStyle w:val="2"/>
        <w:spacing w:before="29" w:line="223" w:lineRule="auto"/>
        <w:ind w:left="640"/>
        <w:outlineLvl w:val="0"/>
      </w:pPr>
      <w:bookmarkStart w:id="8" w:name="bookmark10"/>
      <w:bookmarkEnd w:id="8"/>
      <w:r>
        <w:rPr>
          <w:spacing w:val="-4"/>
        </w:rPr>
        <w:t>4、财政拨款收支总表</w:t>
      </w:r>
    </w:p>
    <w:p w14:paraId="615DEBF2">
      <w:pPr>
        <w:pStyle w:val="2"/>
        <w:spacing w:before="29" w:line="222" w:lineRule="auto"/>
        <w:ind w:left="648"/>
        <w:outlineLvl w:val="0"/>
      </w:pPr>
      <w:bookmarkStart w:id="9" w:name="bookmark11"/>
      <w:bookmarkEnd w:id="9"/>
      <w:r>
        <w:rPr>
          <w:spacing w:val="-2"/>
        </w:rPr>
        <w:t>5、一般公共预算支出表</w:t>
      </w:r>
    </w:p>
    <w:p w14:paraId="389DA356">
      <w:pPr>
        <w:pStyle w:val="2"/>
        <w:spacing w:before="33" w:line="222" w:lineRule="auto"/>
        <w:ind w:left="644"/>
        <w:outlineLvl w:val="0"/>
      </w:pPr>
      <w:bookmarkStart w:id="10" w:name="bookmark12"/>
      <w:bookmarkEnd w:id="10"/>
      <w:r>
        <w:rPr>
          <w:spacing w:val="-2"/>
        </w:rPr>
        <w:t>6、一般公共预算基本支出表</w:t>
      </w:r>
    </w:p>
    <w:p w14:paraId="325109BF">
      <w:pPr>
        <w:pStyle w:val="2"/>
        <w:spacing w:before="32" w:line="222" w:lineRule="auto"/>
        <w:ind w:left="649"/>
        <w:outlineLvl w:val="0"/>
      </w:pPr>
      <w:bookmarkStart w:id="11" w:name="bookmark13"/>
      <w:bookmarkEnd w:id="11"/>
      <w:r>
        <w:rPr>
          <w:spacing w:val="-4"/>
        </w:rPr>
        <w:t>7、一般公共预算“三公</w:t>
      </w:r>
      <w:r>
        <w:rPr>
          <w:spacing w:val="-108"/>
        </w:rPr>
        <w:t xml:space="preserve"> </w:t>
      </w:r>
      <w:r>
        <w:rPr>
          <w:spacing w:val="-4"/>
        </w:rPr>
        <w:t>”经费支出表</w:t>
      </w:r>
    </w:p>
    <w:p w14:paraId="4D4A7B05">
      <w:pPr>
        <w:pStyle w:val="2"/>
        <w:spacing w:before="33" w:line="220" w:lineRule="auto"/>
        <w:ind w:left="642"/>
        <w:outlineLvl w:val="0"/>
      </w:pPr>
      <w:bookmarkStart w:id="12" w:name="bookmark14"/>
      <w:bookmarkEnd w:id="12"/>
      <w:r>
        <w:rPr>
          <w:spacing w:val="-4"/>
        </w:rPr>
        <w:t>8、政府性基金预算支出表</w:t>
      </w:r>
    </w:p>
    <w:p w14:paraId="0E46BBA3">
      <w:pPr>
        <w:pStyle w:val="2"/>
        <w:spacing w:before="36" w:line="222" w:lineRule="auto"/>
        <w:ind w:left="642"/>
        <w:outlineLvl w:val="0"/>
      </w:pPr>
      <w:bookmarkStart w:id="13" w:name="bookmark15"/>
      <w:bookmarkEnd w:id="13"/>
      <w:r>
        <w:rPr>
          <w:spacing w:val="-4"/>
        </w:rPr>
        <w:t>9、项目支出绩效目标表</w:t>
      </w:r>
    </w:p>
    <w:p w14:paraId="03C40D1C">
      <w:pPr>
        <w:pStyle w:val="2"/>
        <w:spacing w:before="31" w:line="212" w:lineRule="auto"/>
        <w:ind w:left="665"/>
        <w:outlineLvl w:val="0"/>
      </w:pPr>
      <w:bookmarkStart w:id="14" w:name="bookmark16"/>
      <w:bookmarkEnd w:id="14"/>
      <w:r>
        <w:rPr>
          <w:spacing w:val="-5"/>
        </w:rPr>
        <w:t>10、部门整体支出绩效目标表</w:t>
      </w:r>
    </w:p>
    <w:p w14:paraId="0B9B8045">
      <w:pPr>
        <w:pStyle w:val="2"/>
        <w:spacing w:before="50" w:line="218" w:lineRule="auto"/>
      </w:pPr>
      <w:r>
        <w:fldChar w:fldCharType="begin"/>
      </w:r>
      <w:r>
        <w:instrText xml:space="preserve"> HYPERLINK "http://222.247.255.179:9001/home/downloadAttachment?attachGUID=fbc11cd4ddfd4edd901fb14095b466fa" </w:instrText>
      </w:r>
      <w:r>
        <w:fldChar w:fldCharType="separate"/>
      </w:r>
      <w:r>
        <w:rPr>
          <w:color w:val="0000EE"/>
          <w:u w:val="single" w:color="auto"/>
        </w:rPr>
        <w:t>802001__长沙市望城区茶亭镇人民政</w:t>
      </w:r>
      <w:r>
        <w:rPr>
          <w:color w:val="0000EE"/>
          <w:spacing w:val="-1"/>
          <w:u w:val="single" w:color="auto"/>
        </w:rPr>
        <w:t>府望城区预算公开表.xlsx</w:t>
      </w:r>
      <w:r>
        <w:rPr>
          <w:color w:val="0000EE"/>
          <w:spacing w:val="-1"/>
          <w:u w:val="single" w:color="auto"/>
        </w:rPr>
        <w:fldChar w:fldCharType="end"/>
      </w:r>
    </w:p>
    <w:sectPr>
      <w:pgSz w:w="11906" w:h="16839"/>
      <w:pgMar w:top="1422" w:right="1785" w:bottom="0" w:left="109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46C37260-97EB-49C8-ADD7-96C9FFB758E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F7330BA-1954-4D84-BDE5-7D1873502A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4B7B563-2B88-4631-8B54-CA93D215461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A4DAF2F-742A-4856-B681-366D6216AFE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7E69F18A-26B2-4136-97C9-67C889306FB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590015E0-0B59-4214-B7F5-6B9B918C71C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liNmQwMzc5MTNhM2YxZmJkYzA1Yjk1OWJhZDVlN2MifQ=="/>
    <w:docVar w:name="KSO_WPS_MARK_KEY" w:val="a5ac2f10-7bcf-429f-bbc7-fd8625a121b9"/>
  </w:docVars>
  <w:rsids>
    <w:rsidRoot w:val="00000000"/>
    <w:rsid w:val="1663076D"/>
    <w:rsid w:val="182757CA"/>
    <w:rsid w:val="1C502666"/>
    <w:rsid w:val="2ECA7865"/>
    <w:rsid w:val="47555600"/>
    <w:rsid w:val="4C3A07FD"/>
    <w:rsid w:val="5ABC17C7"/>
    <w:rsid w:val="5D355860"/>
    <w:rsid w:val="651F307E"/>
    <w:rsid w:val="6E1703AC"/>
    <w:rsid w:val="723818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3298</Words>
  <Characters>3593</Characters>
  <TotalTime>4</TotalTime>
  <ScaleCrop>false</ScaleCrop>
  <LinksUpToDate>false</LinksUpToDate>
  <CharactersWithSpaces>3617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2026-02-10T06:20:00Z</dcterms:created>
  <dc:creator>Administrator</dc:creator>
  <cp:lastModifiedBy>小羊</cp:lastModifiedBy>
  <dcterms:modified xsi:type="dcterms:W3CDTF">2026-02-11T02:07:29Z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2026-02-10T14:18:13Z</vt:filetime>
  </property>
  <property fmtid="{D5CDD505-2E9C-101B-9397-08002B2CF9AE}" pid="4" name="KSOProductBuildVer">
    <vt:lpwstr>2052-12.1.0.19302</vt:lpwstr>
  </property>
  <property fmtid="{D5CDD505-2E9C-101B-9397-08002B2CF9AE}" pid="5" name="ICV">
    <vt:lpwstr>03F794C34919443CAB883DB62F3500AD_13</vt:lpwstr>
  </property>
  <property fmtid="{D5CDD505-2E9C-101B-9397-08002B2CF9AE}" pid="6" name="KSOTemplateDocerSaveRecord">
    <vt:lpwstr>eyJoZGlkIjoiY2U3MDdjMGM1OGU2NzY0ZGFhZWM5ZTc0NGY1YTc0MDAiLCJ1c2VySWQiOiI2NzU0OTM1MzQifQ==</vt:lpwstr>
  </property>
</Properties>
</file>