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line="510" w:lineRule="atLeas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目 录</w:t>
      </w:r>
    </w:p>
    <w:p>
      <w:pPr>
        <w:pStyle w:val="3"/>
        <w:widowControl/>
        <w:spacing w:line="51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  <w:r>
        <w:rPr>
          <w:sz w:val="24"/>
          <w:szCs w:val="24"/>
        </w:rPr>
        <w:t>　　</w:t>
      </w:r>
      <w:r>
        <w:rPr>
          <w:rFonts w:ascii="宋体" w:hAnsi="宋体" w:eastAsia="宋体" w:cs="宋体"/>
          <w:b/>
          <w:bCs/>
          <w:sz w:val="32"/>
          <w:szCs w:val="32"/>
        </w:rPr>
        <w:t>第一部分：</w:t>
      </w:r>
      <w:r>
        <w:rPr>
          <w:rFonts w:hint="eastAsia" w:cs="宋体"/>
          <w:b/>
          <w:bCs/>
          <w:sz w:val="32"/>
          <w:szCs w:val="32"/>
          <w:lang w:eastAsia="zh-CN"/>
        </w:rPr>
        <w:t>乌山街道</w:t>
      </w:r>
      <w:r>
        <w:rPr>
          <w:rFonts w:ascii="宋体" w:hAnsi="宋体" w:eastAsia="宋体" w:cs="宋体"/>
          <w:b/>
          <w:bCs/>
          <w:sz w:val="32"/>
          <w:szCs w:val="32"/>
        </w:rPr>
        <w:t>2020年部门预算说明</w:t>
      </w:r>
    </w:p>
    <w:p>
      <w:pPr>
        <w:pStyle w:val="3"/>
        <w:widowControl/>
        <w:spacing w:line="510" w:lineRule="atLeast"/>
        <w:ind w:firstLine="480" w:firstLineChars="200"/>
        <w:jc w:val="both"/>
        <w:rPr>
          <w:rFonts w:ascii="黑体" w:hAnsi="Times New Roman" w:eastAsia="黑体"/>
          <w:color w:val="auto"/>
          <w:kern w:val="2"/>
          <w:sz w:val="32"/>
          <w:szCs w:val="32"/>
        </w:rPr>
      </w:pPr>
      <w:r>
        <w:rPr>
          <w:sz w:val="24"/>
          <w:szCs w:val="24"/>
        </w:rPr>
        <w:t> 　</w:t>
      </w: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</w:t>
      </w:r>
      <w:r>
        <w:rPr>
          <w:rFonts w:ascii="黑体" w:hAnsi="Times New Roman" w:eastAsia="黑体"/>
          <w:color w:val="auto"/>
          <w:kern w:val="2"/>
          <w:sz w:val="32"/>
          <w:szCs w:val="32"/>
        </w:rPr>
        <w:t>一、部门基本概况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1、</w:t>
      </w: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职能</w:t>
      </w: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职责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2、机构设置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ascii="黑体" w:hAnsi="Times New Roman" w:eastAsia="黑体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hint="default" w:ascii="黑体" w:hAnsi="Times New Roman" w:eastAsia="黑体"/>
          <w:color w:val="auto"/>
          <w:kern w:val="2"/>
          <w:sz w:val="32"/>
          <w:szCs w:val="32"/>
        </w:rPr>
        <w:t>二、部门预算单位构成 　　</w:t>
      </w:r>
    </w:p>
    <w:p>
      <w:pPr>
        <w:pStyle w:val="3"/>
        <w:widowControl/>
        <w:spacing w:line="510" w:lineRule="atLeast"/>
        <w:ind w:firstLine="1280" w:firstLineChars="400"/>
        <w:jc w:val="both"/>
        <w:rPr>
          <w:rFonts w:ascii="黑体" w:hAnsi="Times New Roman" w:eastAsia="黑体"/>
          <w:color w:val="auto"/>
          <w:kern w:val="2"/>
          <w:sz w:val="32"/>
          <w:szCs w:val="32"/>
        </w:rPr>
      </w:pPr>
      <w:r>
        <w:rPr>
          <w:rFonts w:hint="default" w:ascii="黑体" w:hAnsi="Times New Roman" w:eastAsia="黑体"/>
          <w:color w:val="auto"/>
          <w:kern w:val="2"/>
          <w:sz w:val="32"/>
          <w:szCs w:val="32"/>
        </w:rPr>
        <w:t>三、部门收支总体情况 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（一）收入预算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（二）支出预算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ascii="黑体" w:hAnsi="Times New Roman" w:eastAsia="黑体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黑体" w:hAnsi="Times New Roman" w:eastAsia="黑体"/>
          <w:color w:val="auto"/>
          <w:kern w:val="2"/>
          <w:sz w:val="32"/>
          <w:szCs w:val="32"/>
        </w:rPr>
        <w:t>四、</w:t>
      </w:r>
      <w:r>
        <w:rPr>
          <w:rFonts w:hint="default" w:ascii="黑体" w:hAnsi="Times New Roman" w:eastAsia="黑体"/>
          <w:color w:val="auto"/>
          <w:kern w:val="2"/>
          <w:sz w:val="32"/>
          <w:szCs w:val="32"/>
        </w:rPr>
        <w:t>一般公共预算拨款支出预算 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（一）基本支出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（二）项目支出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黑体" w:hAnsi="Times New Roman" w:eastAsia="黑体"/>
          <w:color w:val="auto"/>
          <w:kern w:val="2"/>
          <w:sz w:val="32"/>
          <w:szCs w:val="32"/>
        </w:rPr>
        <w:t>五</w:t>
      </w:r>
      <w:r>
        <w:rPr>
          <w:rFonts w:hint="default" w:ascii="黑体" w:hAnsi="Times New Roman" w:eastAsia="黑体"/>
          <w:color w:val="auto"/>
          <w:kern w:val="2"/>
          <w:sz w:val="32"/>
          <w:szCs w:val="32"/>
        </w:rPr>
        <w:t>、其他重要事项的情况说明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（一）机关运行经费 </w:t>
      </w:r>
    </w:p>
    <w:p>
      <w:pPr>
        <w:pStyle w:val="3"/>
        <w:widowControl/>
        <w:spacing w:line="510" w:lineRule="atLeast"/>
        <w:ind w:firstLine="643" w:firstLineChars="2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　　（二）“三公”经费预算 </w:t>
      </w:r>
    </w:p>
    <w:p>
      <w:pPr>
        <w:pStyle w:val="3"/>
        <w:widowControl/>
        <w:spacing w:line="510" w:lineRule="atLeast"/>
        <w:ind w:firstLine="643" w:firstLineChars="2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　　（三）一般性支出情况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（四）政府采购</w:t>
      </w:r>
      <w:r>
        <w:rPr>
          <w:rFonts w:hint="eastAsia" w:ascii="楷体_GB2312" w:hAnsi="Times New Roman" w:eastAsia="楷体_GB2312"/>
          <w:b/>
          <w:color w:val="auto"/>
          <w:kern w:val="2"/>
          <w:sz w:val="32"/>
          <w:szCs w:val="32"/>
          <w:lang w:eastAsia="zh-CN"/>
        </w:rPr>
        <w:t>及</w:t>
      </w: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政府购买服务情况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（五）国有资产占用及新增资产配置情况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（六）预算绩效目标说明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黑体" w:hAnsi="Times New Roman" w:eastAsia="黑体"/>
          <w:color w:val="auto"/>
          <w:kern w:val="2"/>
          <w:sz w:val="32"/>
          <w:szCs w:val="32"/>
        </w:rPr>
        <w:t>六</w:t>
      </w:r>
      <w:r>
        <w:rPr>
          <w:rFonts w:hint="default" w:ascii="黑体" w:hAnsi="Times New Roman" w:eastAsia="黑体"/>
          <w:color w:val="auto"/>
          <w:kern w:val="2"/>
          <w:sz w:val="32"/>
          <w:szCs w:val="32"/>
        </w:rPr>
        <w:t>、名词解释</w:t>
      </w: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 </w:t>
      </w:r>
    </w:p>
    <w:p>
      <w:pPr>
        <w:pStyle w:val="3"/>
        <w:widowControl/>
        <w:spacing w:line="510" w:lineRule="atLeast"/>
        <w:ind w:firstLine="640" w:firstLineChars="200"/>
        <w:jc w:val="both"/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kern w:val="2"/>
          <w:sz w:val="32"/>
          <w:szCs w:val="32"/>
        </w:rPr>
        <w:t>　　</w:t>
      </w: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（一）</w:t>
      </w:r>
      <w:r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  <w:t>机关运行经费 </w:t>
      </w:r>
    </w:p>
    <w:p>
      <w:pPr>
        <w:pStyle w:val="3"/>
        <w:widowControl/>
        <w:spacing w:line="510" w:lineRule="atLeast"/>
        <w:ind w:firstLine="1285" w:firstLineChars="400"/>
        <w:jc w:val="both"/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</w:pPr>
      <w:r>
        <w:rPr>
          <w:rFonts w:ascii="楷体_GB2312" w:hAnsi="Times New Roman" w:eastAsia="楷体_GB2312"/>
          <w:b/>
          <w:color w:val="auto"/>
          <w:kern w:val="2"/>
          <w:sz w:val="32"/>
          <w:szCs w:val="32"/>
        </w:rPr>
        <w:t>（二）</w:t>
      </w:r>
      <w:r>
        <w:rPr>
          <w:rFonts w:hint="default" w:ascii="楷体_GB2312" w:hAnsi="Times New Roman" w:eastAsia="楷体_GB2312"/>
          <w:b/>
          <w:color w:val="auto"/>
          <w:kern w:val="2"/>
          <w:sz w:val="32"/>
          <w:szCs w:val="32"/>
        </w:rPr>
        <w:t>“三公”经费</w:t>
      </w:r>
    </w:p>
    <w:p>
      <w:pPr>
        <w:pStyle w:val="3"/>
        <w:widowControl/>
        <w:spacing w:line="510" w:lineRule="atLeast"/>
        <w:ind w:firstLine="643" w:firstLineChars="200"/>
        <w:jc w:val="both"/>
        <w:rPr>
          <w:b/>
          <w:sz w:val="24"/>
          <w:szCs w:val="24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第二部分：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乌山街道</w:t>
      </w:r>
      <w:r>
        <w:rPr>
          <w:rFonts w:ascii="宋体" w:hAnsi="宋体" w:eastAsia="宋体" w:cs="宋体"/>
          <w:b/>
          <w:bCs/>
          <w:sz w:val="32"/>
          <w:szCs w:val="32"/>
        </w:rPr>
        <w:t>2020年度部门预算表</w:t>
      </w:r>
      <w:r>
        <w:rPr>
          <w:b/>
          <w:sz w:val="24"/>
          <w:szCs w:val="24"/>
        </w:rPr>
        <w:t> 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部门收支总表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部门收入</w:t>
      </w:r>
      <w:r>
        <w:rPr>
          <w:rFonts w:hint="eastAsia" w:eastAsia="仿宋_GB2312"/>
          <w:sz w:val="32"/>
          <w:szCs w:val="32"/>
        </w:rPr>
        <w:t>总</w:t>
      </w:r>
      <w:r>
        <w:rPr>
          <w:rFonts w:eastAsia="仿宋_GB2312"/>
          <w:sz w:val="32"/>
          <w:szCs w:val="32"/>
        </w:rPr>
        <w:t>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部门支出总表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财政拨款收支总表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一般公共预算支出总表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一般公共预算基本支出表（按部门经济分类）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一般公共预算基本支出表（按政府经济分类）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一般公共预算“三公”经费预算表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政府性基金预算支出表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2020年部门经济分类预算明细表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2020年政府经济分类预算明细表</w:t>
      </w:r>
    </w:p>
    <w:p>
      <w:pPr>
        <w:pStyle w:val="3"/>
        <w:widowControl/>
        <w:spacing w:line="510" w:lineRule="atLeast"/>
        <w:jc w:val="center"/>
        <w:rPr>
          <w:b/>
          <w:sz w:val="36"/>
          <w:szCs w:val="36"/>
        </w:rPr>
      </w:pPr>
    </w:p>
    <w:p>
      <w:pPr>
        <w:pStyle w:val="3"/>
        <w:widowControl/>
        <w:spacing w:line="510" w:lineRule="atLeast"/>
        <w:ind w:firstLine="643" w:firstLineChars="200"/>
        <w:jc w:val="both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第一部分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乌山街道2020年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部门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预算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说明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b/>
          <w:sz w:val="30"/>
          <w:szCs w:val="30"/>
        </w:rPr>
      </w:pPr>
      <w:r>
        <w:rPr>
          <w:rFonts w:hint="eastAsia" w:ascii="仿宋_GB2312" w:hAnsi="仿宋_GB2312" w:eastAsia="仿宋_GB2312"/>
          <w:b/>
          <w:sz w:val="30"/>
          <w:szCs w:val="30"/>
        </w:rPr>
        <w:t>　　一、街道基本概况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</w:t>
      </w:r>
      <w:r>
        <w:rPr>
          <w:rFonts w:ascii="仿宋_GB2312" w:hAnsi="仿宋_GB2312" w:eastAsia="仿宋_GB2312"/>
          <w:sz w:val="30"/>
          <w:szCs w:val="30"/>
        </w:rPr>
        <w:t>1</w:t>
      </w:r>
      <w:r>
        <w:rPr>
          <w:rFonts w:hint="eastAsia" w:ascii="仿宋_GB2312" w:hAnsi="仿宋_GB2312" w:eastAsia="仿宋_GB2312"/>
          <w:sz w:val="30"/>
          <w:szCs w:val="30"/>
        </w:rPr>
        <w:t>、职能职责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1</w:t>
      </w:r>
      <w:r>
        <w:rPr>
          <w:rFonts w:hint="eastAsia" w:ascii="仿宋_GB2312" w:hAnsi="仿宋_GB2312" w:eastAsia="仿宋_GB2312"/>
          <w:sz w:val="30"/>
          <w:szCs w:val="30"/>
        </w:rPr>
        <w:t>）贯彻执行党和国家的路线方针、政策以及市、区关于街道工作方面的指示，制订具体的管理办法并组织实施。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2</w:t>
      </w:r>
      <w:r>
        <w:rPr>
          <w:rFonts w:hint="eastAsia" w:ascii="仿宋_GB2312" w:hAnsi="仿宋_GB2312" w:eastAsia="仿宋_GB2312"/>
          <w:sz w:val="30"/>
          <w:szCs w:val="30"/>
        </w:rPr>
        <w:t>）指导、搞好辖区内村（社区）的工作，支持、帮助村（社区）加强思想、组织、制度建设，向上级人民政府和有关部门及时反映居民的意见、建议和要求。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3</w:t>
      </w:r>
      <w:r>
        <w:rPr>
          <w:rFonts w:hint="eastAsia" w:ascii="仿宋_GB2312" w:hAnsi="仿宋_GB2312" w:eastAsia="仿宋_GB2312"/>
          <w:sz w:val="30"/>
          <w:szCs w:val="30"/>
        </w:rPr>
        <w:t>）抓好村（社区）文化建设，开展文明街道、文明单位，文明小区建设活动，组织居民开展经常性的文化、娱乐、体育活动。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4</w:t>
      </w:r>
      <w:r>
        <w:rPr>
          <w:rFonts w:hint="eastAsia" w:ascii="仿宋_GB2312" w:hAnsi="仿宋_GB2312" w:eastAsia="仿宋_GB2312"/>
          <w:sz w:val="30"/>
          <w:szCs w:val="30"/>
        </w:rPr>
        <w:t>）负责街道的人民调解、治安保卫工作，加强对违法青少年的帮教转化，保护老人、妇女、儿童的合法权益。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5</w:t>
      </w:r>
      <w:r>
        <w:rPr>
          <w:rFonts w:hint="eastAsia" w:ascii="仿宋_GB2312" w:hAnsi="仿宋_GB2312" w:eastAsia="仿宋_GB2312"/>
          <w:sz w:val="30"/>
          <w:szCs w:val="30"/>
        </w:rPr>
        <w:t>）协助有关部门做好辖区拥军优属、优抚安置、社会救济、殡葬改革、残疾人就业等工作；积极开展便民利民的社区服务和社区教育工作。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6</w:t>
      </w:r>
      <w:r>
        <w:rPr>
          <w:rFonts w:hint="eastAsia" w:ascii="仿宋_GB2312" w:hAnsi="仿宋_GB2312" w:eastAsia="仿宋_GB2312"/>
          <w:sz w:val="30"/>
          <w:szCs w:val="30"/>
        </w:rPr>
        <w:t>）会同有关部门做好辖区内常住和流动人口的管理及计划生育工作，完成区下达的各项计划生育指标任务。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7</w:t>
      </w:r>
      <w:r>
        <w:rPr>
          <w:rFonts w:hint="eastAsia" w:ascii="仿宋_GB2312" w:hAnsi="仿宋_GB2312" w:eastAsia="仿宋_GB2312"/>
          <w:sz w:val="30"/>
          <w:szCs w:val="30"/>
        </w:rPr>
        <w:t>）协助武装部门做好辖区民兵训练和公民服兵役工作。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8</w:t>
      </w:r>
      <w:r>
        <w:rPr>
          <w:rFonts w:hint="eastAsia" w:ascii="仿宋_GB2312" w:hAnsi="仿宋_GB2312" w:eastAsia="仿宋_GB2312"/>
          <w:sz w:val="30"/>
          <w:szCs w:val="30"/>
        </w:rPr>
        <w:t>）负责在辖区开展普法教育工作，做好民事调解，开展法律咨询、服务等工作，维护居民的合法权益，搞好辖区内社会管理综合治理工作。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9</w:t>
      </w:r>
      <w:r>
        <w:rPr>
          <w:rFonts w:hint="eastAsia" w:ascii="仿宋_GB2312" w:hAnsi="仿宋_GB2312" w:eastAsia="仿宋_GB2312"/>
          <w:sz w:val="30"/>
          <w:szCs w:val="30"/>
        </w:rPr>
        <w:t>）负责本辖区的城市管理工作，发动群众开展爱国卫生运动，绿化、美化、净化城市环境，协助有关部门做好环境卫生、环境保护工作。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10</w:t>
      </w:r>
      <w:r>
        <w:rPr>
          <w:rFonts w:hint="eastAsia" w:ascii="仿宋_GB2312" w:hAnsi="仿宋_GB2312" w:eastAsia="仿宋_GB2312"/>
          <w:sz w:val="30"/>
          <w:szCs w:val="30"/>
        </w:rPr>
        <w:t>）负责本辖区的综合执法工作，维护辖区的良好秩序。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11</w:t>
      </w:r>
      <w:r>
        <w:rPr>
          <w:rFonts w:hint="eastAsia" w:ascii="仿宋_GB2312" w:hAnsi="仿宋_GB2312" w:eastAsia="仿宋_GB2312"/>
          <w:sz w:val="30"/>
          <w:szCs w:val="30"/>
        </w:rPr>
        <w:t>）负责研究辖区经济发展的规划，协助有关部门抓好安全生产工作。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12</w:t>
      </w:r>
      <w:r>
        <w:rPr>
          <w:rFonts w:hint="eastAsia" w:ascii="仿宋_GB2312" w:hAnsi="仿宋_GB2312" w:eastAsia="仿宋_GB2312"/>
          <w:sz w:val="30"/>
          <w:szCs w:val="30"/>
        </w:rPr>
        <w:t>）配合有关部门做好辖区内的三防、抢险救灾、安全生产检查、居民迁移等工作。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（</w:t>
      </w:r>
      <w:r>
        <w:rPr>
          <w:rFonts w:ascii="仿宋_GB2312" w:hAnsi="仿宋_GB2312" w:eastAsia="仿宋_GB2312"/>
          <w:sz w:val="30"/>
          <w:szCs w:val="30"/>
        </w:rPr>
        <w:t>13</w:t>
      </w:r>
      <w:r>
        <w:rPr>
          <w:rFonts w:hint="eastAsia" w:ascii="仿宋_GB2312" w:hAnsi="仿宋_GB2312" w:eastAsia="仿宋_GB2312"/>
          <w:sz w:val="30"/>
          <w:szCs w:val="30"/>
        </w:rPr>
        <w:t>）承办区委、区政府交办的其他工作。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　　</w:t>
      </w:r>
      <w:r>
        <w:rPr>
          <w:rFonts w:ascii="仿宋_GB2312" w:hAnsi="仿宋_GB2312" w:eastAsia="仿宋_GB2312"/>
          <w:sz w:val="30"/>
          <w:szCs w:val="30"/>
        </w:rPr>
        <w:t>2</w:t>
      </w:r>
      <w:r>
        <w:rPr>
          <w:rFonts w:hint="eastAsia" w:ascii="仿宋_GB2312" w:hAnsi="仿宋_GB2312" w:eastAsia="仿宋_GB2312"/>
          <w:sz w:val="30"/>
          <w:szCs w:val="30"/>
        </w:rPr>
        <w:t>、机构设置</w:t>
      </w:r>
    </w:p>
    <w:p>
      <w:pPr>
        <w:pStyle w:val="3"/>
        <w:widowControl/>
        <w:spacing w:line="510" w:lineRule="atLeast"/>
        <w:ind w:firstLine="600" w:firstLineChars="200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sz w:val="30"/>
          <w:szCs w:val="30"/>
        </w:rPr>
        <w:t>街道下设党政综合办公室及政务服务中心、基层党建办公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室、纪工委办公室、经济发展办公室及财政所、城镇建设事务中心（一办（工程建设办）、二办（征拆办））、公共服务办公室、自然资源和生态环境办公室、综合行政执法队、公共安全办公室、农业农村综合服务中心等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个办线。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二、街道预算单位构成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纳入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年街道预算编制范围的机构包括：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、乌山街道机关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、归乌山街道管理的下属事业单位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下属单位为街道内设部门，收入和支出归口机关管理。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三、街道收支总体情况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我街道预算包括本级预算和所属单位预算在内的汇总情况。收入既包括一般公共预算收入、政府性基金收入和国有资本经营预算收入，又包括事业单位经营服务等收入；支出既包括保障机关及所属事业单位基本运行的经费，也包括归口管理、面向村（社区）分配的交通、水利、地质灾害等专项经费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收入预算，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年年初预算数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18620.24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万元，其中，一般公共预算拨款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17801.52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万元，政府性基金预算拨款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818.72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万元。20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预算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收入较2019年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减少5808.03</w:t>
      </w:r>
      <w:r>
        <w:rPr>
          <w:rFonts w:hint="default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减少23.77</w:t>
      </w:r>
      <w:r>
        <w:rPr>
          <w:rFonts w:hint="default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%。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主要原因是：园区移交经开区管理，项目资金减少。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支出预算，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年年初预算数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18620.24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万元，其中，一般公共服务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6520.67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万元，国防支出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万元，公共安全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29.8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万元，教育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116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万元，科技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149.5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万元，文化旅游体育与传媒支出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98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万元，社会保障和就业支出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858.77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万元，卫生健康支出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437.82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万元，节能环保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1189.8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万元，城乡社区支出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4238.52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农林水支出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4072.6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交通运输支出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99.62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万元，资源勘探信息等支出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35.05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万元，商业服务业支出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57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万元，住房保障支出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517.07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万元，其他支出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185.02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万元。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年预算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支出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较20</w:t>
      </w:r>
      <w:r>
        <w:rPr>
          <w:rFonts w:hint="eastAsia" w:ascii="宋体" w:hAnsi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减少5808.03</w:t>
      </w:r>
      <w:r>
        <w:rPr>
          <w:rFonts w:hint="default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减少23.77</w:t>
      </w:r>
      <w:r>
        <w:rPr>
          <w:rFonts w:hint="default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%。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主要原因是：园区移交经开区管理，项目资金减少。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四、一般公共预算拨款支出预算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年一般公共预算拨款收入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17801.52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万元，具体安排情况如下：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基本支出：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年年初预算数为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3517.72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pStyle w:val="3"/>
        <w:widowControl/>
        <w:spacing w:line="510" w:lineRule="atLeast"/>
        <w:ind w:firstLine="600"/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项目支出：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年年初预算数为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15102.52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万元，是指单位为完成特定行政工作任务或事业发展目标而发生的支出，包括有关事业发展专项、专项业务费、基本建设支出、对村（社区）专项补助等。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其中：一般公共服务支出3,824.32万元，主要用于机关的维修改造、宣传广告、两美创建等；国防支出10万元，主要用于国防教育等方面；公共安全支出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29.8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万元，主要用于公共安全办协调维稳等方面；教育支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116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万元，主要用于义务教育学校补助；科学技术支出149.5万元，主要用于企业奖补等方面；文化体育与传媒支出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98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万元，主要用于群众文化体育等方面；社会保障和就业支出582.67万元，主要用于社会保障工作等方面；医疗卫生与计划生育支出506.95万元，主要用于突发的公共卫生的物资、防控、劳务、宣传等方面；节能环保支出1189.8万元，主要用于环境保护及治理、农村改厕等方面；城乡社区支出4231.61万元，主要用于垃圾分类、垃圾清运、城市治理等方面；农林水支出3927.77万元，主要用于农村基础设施建设、转移支付等方面；交通运输支出99.62万元，资源勘探信息等支出35.05万元，商业服务业等支出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57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万元，住房保障支出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319.36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万元，灾害防治及应急管理支出5万元其他支出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185.02</w:t>
      </w:r>
      <w:r>
        <w:rPr>
          <w:rFonts w:hint="eastAsia" w:cs="宋体"/>
          <w:i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万元，主要用于公路建设维护、企业发展、危房改造以及其他等方面。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五、其他重要事项的情况说明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机关运行经费</w:t>
      </w:r>
    </w:p>
    <w:p>
      <w:pPr>
        <w:widowControl/>
        <w:spacing w:line="600" w:lineRule="exact"/>
        <w:ind w:firstLine="66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2020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年本级等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家行政事业单位的机关运行经费当年一般公共预算拨款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482.48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万元，比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2019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年预算减少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48.03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万元，下降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9.05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600" w:lineRule="exact"/>
        <w:ind w:firstLine="660"/>
        <w:jc w:val="left"/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（二）“三公”经费预算</w:t>
      </w:r>
    </w:p>
    <w:p>
      <w:pPr>
        <w:pStyle w:val="3"/>
        <w:widowControl/>
        <w:spacing w:line="510" w:lineRule="atLeast"/>
        <w:ind w:firstLine="600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年“三公”经费预算数为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万元，其中，公务接待费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万元，公务用车购置及运行费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万元（其中，公务用车购置费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万元，公务用车运行费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因公出国（境）费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 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0 </w:t>
      </w:r>
      <w:r>
        <w:rPr>
          <w:rFonts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万元。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年“三公”经费预算与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2019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年预算</w:t>
      </w:r>
      <w:r>
        <w:rPr>
          <w:rFonts w:hint="eastAsia" w:ascii="Calibri" w:hAnsi="Calibri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减少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27.24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万元，下降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57.66%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600" w:lineRule="exact"/>
        <w:ind w:firstLine="660"/>
        <w:jc w:val="left"/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（三）一般性支出情况</w:t>
      </w:r>
    </w:p>
    <w:p>
      <w:pPr>
        <w:pStyle w:val="3"/>
        <w:widowControl/>
        <w:spacing w:line="510" w:lineRule="atLeast"/>
        <w:ind w:firstLine="600"/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一般性支出562.29万元，其中办公费78.99万元，水费4.76万元， 电费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47.42 万元，邮电费2.24 万元 ，物业管理费15.00 万元，差旅费2.74万元，因公出国（境）费用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0.00 万元，维修（护）费94.97 万元，会议费0.11 万元，培训费1.47万元，公务接待费0.00万元，专用材料费60.00万元，劳务费183.69万元，委托业务费11.48 万元，工会经费59.42万元， 公务用车运行维护费21.00万元。</w:t>
      </w:r>
    </w:p>
    <w:p>
      <w:pPr>
        <w:pStyle w:val="3"/>
        <w:widowControl/>
        <w:spacing w:line="510" w:lineRule="atLeast"/>
        <w:ind w:firstLine="600"/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2020年本部门开支会议费0．1万元，用于召开机关干部会议，参会人数135人，主要内容为节前任务布置；开支培训费1.47万元，用于开展村级业务培训，人数89人，内容为村干部业务培训。</w:t>
      </w:r>
    </w:p>
    <w:p>
      <w:pPr>
        <w:pStyle w:val="3"/>
        <w:widowControl/>
        <w:spacing w:line="510" w:lineRule="atLeast"/>
        <w:ind w:firstLine="600"/>
        <w:rPr>
          <w:rFonts w:hint="eastAsia" w:ascii="仿宋_GB2312" w:hAns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600" w:lineRule="exact"/>
        <w:ind w:firstLine="66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政府采购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政府购买服务情况</w:t>
      </w:r>
    </w:p>
    <w:p>
      <w:pPr>
        <w:widowControl/>
        <w:spacing w:line="600" w:lineRule="exact"/>
        <w:ind w:firstLine="66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2020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年乌山街道办事处机关政府采购预算总额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300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万元，其中，一般公共预算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300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>
      <w:pPr>
        <w:widowControl/>
        <w:spacing w:line="600" w:lineRule="exact"/>
        <w:ind w:firstLine="660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（五）国有资产占用及新增资产配置情况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textAlignment w:val="center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截至2019年12月31日，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我单位开支财政拨款的公务用车保有量为0辆，有使用权的车辆2辆。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原有公务用车全部上缴机关事务局处置，街道用车统一由机关事务局调配。预计20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年无新增资产配置。</w:t>
      </w:r>
    </w:p>
    <w:p>
      <w:pPr>
        <w:widowControl/>
        <w:spacing w:line="600" w:lineRule="exact"/>
        <w:ind w:firstLine="660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（六）预算绩效目标说明 </w:t>
      </w:r>
    </w:p>
    <w:p>
      <w:pPr>
        <w:widowControl/>
        <w:spacing w:line="600" w:lineRule="exact"/>
        <w:ind w:firstLine="660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按照预算绩效管理工作的总体要求，2020年街道未编报绩效目标项目。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六、名词解释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</w:t>
      </w:r>
    </w:p>
    <w:p>
      <w:pPr>
        <w:widowControl/>
        <w:spacing w:line="600" w:lineRule="exact"/>
        <w:jc w:val="left"/>
        <w:rPr>
          <w:rFonts w:ascii="Times New Roman" w:hAnsi="Times New Roman" w:eastAsia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第二部分</w:t>
      </w:r>
      <w:r>
        <w:rPr>
          <w:rFonts w:hint="eastAsia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乌山街道</w:t>
      </w:r>
      <w:r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2020年度部门预算表</w:t>
      </w:r>
      <w:r>
        <w:rPr>
          <w:rFonts w:ascii="Times New Roman" w:hAnsi="Times New Roman" w:eastAsia="宋体"/>
          <w:bCs/>
          <w:color w:val="000000" w:themeColor="text1"/>
          <w14:textFill>
            <w14:solidFill>
              <w14:schemeClr w14:val="tx1"/>
            </w14:solidFill>
          </w14:textFill>
        </w:rPr>
        <w:t>（详见附件表格）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1、部门收支总表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2、部门收入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3、部门支出总表</w:t>
      </w:r>
    </w:p>
    <w:p>
      <w:pPr>
        <w:widowControl/>
        <w:spacing w:line="600" w:lineRule="exact"/>
        <w:ind w:firstLine="630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财政拨款收支总表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一般公共预算支出总表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6、一般公共预算基本支出表（按部门经济分类）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7、一般公共预算基本支出表（按政府经济分类）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一般公共预算“三公”经费预算表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政府性基金预算支出表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2020年部门经济分类预算明细表</w:t>
      </w:r>
    </w:p>
    <w:p>
      <w:pPr>
        <w:widowControl/>
        <w:spacing w:line="600" w:lineRule="exact"/>
        <w:ind w:firstLine="630"/>
        <w:jc w:val="left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2020年政府经济分类预算明细表</w:t>
      </w:r>
    </w:p>
    <w:p>
      <w:pPr>
        <w:pStyle w:val="3"/>
        <w:widowControl/>
        <w:spacing w:line="510" w:lineRule="atLeas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line="510" w:lineRule="atLeast"/>
        <w:jc w:val="righ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望城区乌山街道办事处</w:t>
      </w:r>
    </w:p>
    <w:p>
      <w:pPr>
        <w:pStyle w:val="3"/>
        <w:widowControl/>
        <w:spacing w:line="510" w:lineRule="atLeast"/>
        <w:jc w:val="right"/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　　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日</w:t>
      </w:r>
    </w:p>
    <w:p>
      <w:pPr>
        <w:widowControl/>
        <w:spacing w:before="300"/>
        <w:jc w:val="left"/>
        <w:rPr>
          <w:rFonts w:ascii="仿宋_GB2312" w:hAnsi="仿宋_GB2312" w:eastAsia="仿宋_GB2312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相关附件下载：</w:t>
      </w:r>
      <w:r>
        <w:rPr>
          <w:rFonts w:ascii="仿宋_GB2312" w:hAnsi="仿宋_GB2312" w:eastAsia="仿宋_GB2312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"http://www.wangcheng.gov.cn/xxgk_343/jd/gtljd/czxx_6201/czyjs_6202/201804/./P020180418321709766258.xls"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仿宋_GB2312" w:eastAsia="仿宋_GB2312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乌山街道</w:t>
      </w:r>
      <w:r>
        <w:rPr>
          <w:rFonts w:ascii="仿宋_GB2312" w:hAnsi="仿宋_GB2312" w:eastAsia="仿宋_GB2312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仿宋_GB2312" w:hAnsi="仿宋_GB2312" w:eastAsia="仿宋_GB2312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年预算公开表</w:t>
      </w:r>
      <w:r>
        <w:rPr>
          <w:rFonts w:ascii="仿宋_GB2312" w:hAnsi="仿宋_GB2312" w:eastAsia="仿宋_GB2312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.xls</w:t>
      </w:r>
      <w:r>
        <w:rPr>
          <w:rFonts w:ascii="仿宋_GB2312" w:hAnsi="仿宋_GB2312" w:eastAsia="仿宋_GB2312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仿宋_GB2312" w:hAnsi="仿宋_GB2312" w:eastAsia="仿宋_GB2312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ascii="仿宋_GB2312" w:hAns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endnotePr>
        <w:numFmt w:val="decimal"/>
      </w:endnotePr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0AB412"/>
    <w:multiLevelType w:val="singleLevel"/>
    <w:tmpl w:val="690AB412"/>
    <w:lvl w:ilvl="0" w:tentative="0">
      <w:start w:val="1"/>
      <w:numFmt w:val="decimal"/>
      <w:suff w:val="nothing"/>
      <w:lvlText w:val="%1、"/>
      <w:lvlJc w:val="left"/>
      <w:pPr>
        <w:ind w:left="111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3E14"/>
    <w:rsid w:val="00145A58"/>
    <w:rsid w:val="001F3E14"/>
    <w:rsid w:val="00352405"/>
    <w:rsid w:val="006D7A39"/>
    <w:rsid w:val="00855143"/>
    <w:rsid w:val="00934E30"/>
    <w:rsid w:val="00984E66"/>
    <w:rsid w:val="009F1581"/>
    <w:rsid w:val="00A75BD0"/>
    <w:rsid w:val="00AF1532"/>
    <w:rsid w:val="00D1694D"/>
    <w:rsid w:val="00EB2516"/>
    <w:rsid w:val="11D84DA7"/>
    <w:rsid w:val="13B66168"/>
    <w:rsid w:val="1C0D04B2"/>
    <w:rsid w:val="1D1034BA"/>
    <w:rsid w:val="1D9B14D1"/>
    <w:rsid w:val="1F733C42"/>
    <w:rsid w:val="2146236E"/>
    <w:rsid w:val="22292B82"/>
    <w:rsid w:val="226A01A9"/>
    <w:rsid w:val="283A158D"/>
    <w:rsid w:val="30535888"/>
    <w:rsid w:val="30800F96"/>
    <w:rsid w:val="3D1A43E9"/>
    <w:rsid w:val="45106AD8"/>
    <w:rsid w:val="47EE30F8"/>
    <w:rsid w:val="49931DF5"/>
    <w:rsid w:val="49D94E12"/>
    <w:rsid w:val="4B2576ED"/>
    <w:rsid w:val="4C076145"/>
    <w:rsid w:val="4C103248"/>
    <w:rsid w:val="540B5FC6"/>
    <w:rsid w:val="586564E6"/>
    <w:rsid w:val="5AAF739B"/>
    <w:rsid w:val="5C196159"/>
    <w:rsid w:val="5D15328E"/>
    <w:rsid w:val="63A44239"/>
    <w:rsid w:val="65956112"/>
    <w:rsid w:val="68E005C9"/>
    <w:rsid w:val="6C55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qFormat="1" w:unhideWhenUsed="0" w:uiPriority="99" w:semiHidden="0" w:name="HTML Acronym"/>
    <w:lsdException w:uiPriority="99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nhideWhenUsed="0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1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iPriority w:val="99"/>
    <w:rPr>
      <w:rFonts w:ascii="Times New Roman" w:hAnsi="Times New Roman"/>
      <w:sz w:val="18"/>
      <w:szCs w:val="18"/>
    </w:rPr>
  </w:style>
  <w:style w:type="paragraph" w:styleId="3">
    <w:name w:val="Normal (Web)"/>
    <w:basedOn w:val="1"/>
    <w:uiPriority w:val="99"/>
    <w:pPr>
      <w:jc w:val="left"/>
    </w:pPr>
    <w:rPr>
      <w:rFonts w:ascii="宋体" w:hAnsi="宋体"/>
      <w:color w:val="262626"/>
      <w:szCs w:val="21"/>
    </w:rPr>
  </w:style>
  <w:style w:type="character" w:styleId="5">
    <w:name w:val="FollowedHyperlink"/>
    <w:basedOn w:val="4"/>
    <w:qFormat/>
    <w:uiPriority w:val="99"/>
    <w:rPr>
      <w:rFonts w:cs="Times New Roman"/>
      <w:color w:val="4C4C4C"/>
      <w:u w:val="none"/>
    </w:rPr>
  </w:style>
  <w:style w:type="character" w:styleId="6">
    <w:name w:val="Emphasis"/>
    <w:basedOn w:val="4"/>
    <w:qFormat/>
    <w:uiPriority w:val="99"/>
    <w:rPr>
      <w:rFonts w:cs="Times New Roman"/>
    </w:rPr>
  </w:style>
  <w:style w:type="character" w:styleId="7">
    <w:name w:val="HTML Definition"/>
    <w:basedOn w:val="4"/>
    <w:qFormat/>
    <w:uiPriority w:val="99"/>
    <w:rPr>
      <w:rFonts w:cs="Times New Roman"/>
    </w:rPr>
  </w:style>
  <w:style w:type="character" w:styleId="8">
    <w:name w:val="HTML Acronym"/>
    <w:basedOn w:val="4"/>
    <w:qFormat/>
    <w:uiPriority w:val="99"/>
    <w:rPr>
      <w:rFonts w:cs="Times New Roman"/>
    </w:rPr>
  </w:style>
  <w:style w:type="character" w:styleId="9">
    <w:name w:val="HTML Variable"/>
    <w:basedOn w:val="4"/>
    <w:qFormat/>
    <w:uiPriority w:val="99"/>
    <w:rPr>
      <w:rFonts w:cs="Times New Roman"/>
    </w:rPr>
  </w:style>
  <w:style w:type="character" w:styleId="10">
    <w:name w:val="Hyperlink"/>
    <w:basedOn w:val="4"/>
    <w:qFormat/>
    <w:uiPriority w:val="99"/>
    <w:rPr>
      <w:rFonts w:cs="Times New Roman"/>
      <w:color w:val="4C4C4C"/>
      <w:u w:val="none"/>
    </w:rPr>
  </w:style>
  <w:style w:type="character" w:styleId="11">
    <w:name w:val="HTML Code"/>
    <w:basedOn w:val="4"/>
    <w:qFormat/>
    <w:uiPriority w:val="99"/>
    <w:rPr>
      <w:rFonts w:ascii="宋体" w:hAnsi="宋体" w:eastAsia="宋体" w:cs="Times New Roman"/>
      <w:color w:val="262626"/>
      <w:sz w:val="21"/>
    </w:rPr>
  </w:style>
  <w:style w:type="character" w:styleId="12">
    <w:name w:val="HTML Cite"/>
    <w:basedOn w:val="4"/>
    <w:qFormat/>
    <w:uiPriority w:val="99"/>
    <w:rPr>
      <w:rFonts w:cs="Times New Roman"/>
    </w:rPr>
  </w:style>
  <w:style w:type="character" w:customStyle="1" w:styleId="14">
    <w:name w:val="Balloon Text Char"/>
    <w:basedOn w:val="4"/>
    <w:link w:val="2"/>
    <w:semiHidden/>
    <w:qFormat/>
    <w:uiPriority w:val="99"/>
    <w:rPr>
      <w:rFonts w:ascii="Calibri" w:hAnsi="Calibri"/>
      <w:kern w:val="1"/>
      <w:sz w:val="0"/>
      <w:szCs w:val="0"/>
    </w:rPr>
  </w:style>
  <w:style w:type="character" w:customStyle="1" w:styleId="15">
    <w:name w:val="span-bg"/>
    <w:qFormat/>
    <w:uiPriority w:val="99"/>
  </w:style>
  <w:style w:type="character" w:customStyle="1" w:styleId="16">
    <w:name w:val="span-hover"/>
    <w:qFormat/>
    <w:uiPriority w:val="99"/>
  </w:style>
  <w:style w:type="character" w:customStyle="1" w:styleId="17">
    <w:name w:val="批注框文本 Char"/>
    <w:qFormat/>
    <w:uiPriority w:val="99"/>
    <w:rPr>
      <w:rFonts w:ascii="Times New Roman" w:hAnsi="Times New Roman"/>
      <w:kern w:val="0"/>
      <w:sz w:val="18"/>
    </w:rPr>
  </w:style>
  <w:style w:type="character" w:customStyle="1" w:styleId="18">
    <w:name w:val="批注框文本 Char1"/>
    <w:qFormat/>
    <w:uiPriority w:val="99"/>
    <w:rPr>
      <w:rFonts w:ascii="Calibri" w:hAnsi="Calibri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363</Words>
  <Characters>2070</Characters>
  <Lines>0</Lines>
  <Paragraphs>0</Paragraphs>
  <TotalTime>11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2021-05-31T20:41:12Z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