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pStyle w:val="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539" w:lineRule="atLeast"/>
        <w:ind w:left="0" w:right="0" w:firstLine="0"/>
        <w:jc w:val="center"/>
        <w:outlineLvl w:val="0"/>
        <w:rPr>
          <w:rFonts w:ascii="仿宋" w:eastAsia="仿宋" w:hint="eastAsia"/>
          <w:bCs/>
          <w:i w:val="0"/>
          <w:iCs w:val="0"/>
          <w:caps w:val="0"/>
          <w:smallCaps w:val="0"/>
          <w:vanish w:val="0"/>
          <w:color w:val="333333"/>
          <w:spacing w:val="0"/>
          <w:kern w:val="36"/>
          <w:sz w:val="32"/>
          <w:szCs w:val="32"/>
        </w:rPr>
      </w:pPr>
      <w:r>
        <w:rPr>
          <w:rFonts w:ascii="仿宋" w:eastAsia="仿宋" w:hint="eastAsia"/>
          <w:bCs/>
          <w:i w:val="0"/>
          <w:iCs w:val="0"/>
          <w:caps w:val="0"/>
          <w:smallCaps w:val="0"/>
          <w:vanish w:val="0"/>
          <w:color w:val="333333"/>
          <w:spacing w:val="0"/>
          <w:kern w:val="36"/>
          <w:sz w:val="32"/>
          <w:szCs w:val="32"/>
        </w:rPr>
        <w:t>长沙市望城区乌山街道办事处2025年部门预算公开说明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第一部分：　2025年部门预算说明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一、部门基本概况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二、部门预算单位构成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三、部门收支总体情况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四、一般公共预算拨款支出预算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五、政府性基金预算支出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六、其他重要事项的情况说明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（一）机关运行经费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（二）“三公”经费预算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（三）一般性支出情况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（四）政府采购情况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（五）国有资产占用使用及新增资产配置情况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（六）预算绩效目标说明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七、名词解释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第二部分：　2025年部门预算表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1、收支总表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2、收入总表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3、支出总表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4、财政拨款收支总表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5、一般公共预算支出表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6、一般公共预算基本支出表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7、一般公共预算“三公”经费支出表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8、政府性基金预算支出表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9、项目支出绩效目标表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10、部门整体支出绩效目标表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注：以上部门预算报表中，空表表示本部门无相关收支情况。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br/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jc w:val="center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第一部分：2025年部门预算公开说明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一、部门基本概况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（一）职能职责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1、承担机关日常运转和综合协调处置等职责。负责办文办会、国安、机要保密、档案管理、督办、政务公开、后勤保障等综合性事务；牵头全面深化改革工作。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2、承担辖区内基层党的建设等职责。负责组织、效能建设、机构编制、人事、人才、机关干部队伍建设、老干、关心下一代等工作；负责宣传思想、意识形态、精神文明建设、新时代文明实践、网信等工作；负责统一战线、民族宗教工作；负责组织协调辖区内群团组织开展工作。负责基层治理和基层政权建设、“两企三新”党建、志愿服务和社会工作服务、人民建议征集以及行业协会商会相关工作等；负责网格化综合治理和12345热线等平台的服务管理工作。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3、承担辖区内经济发展服务和优化营商环境等职责。负责经济发展规划的制定和落实等工作；负责发展和改革、工业和信息化、电力、商务、统计、科技、市场监管、金融等相关领域工作；负责优化区域发展环境，统筹协调与经济发展相关的其他工作。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4、承担辖区内民生服务保障和社会事务管理等职责。负责人力资源和社会保障、民政、残疾人事务、医疗保障、教育、文化、旅游、广播电视、体育、文物保护、卫生健康等相关领域工作；负责便民服务相关工作。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5、承担辖区内社会治安综合治理、维护社会稳定和应急管理等职责。负责平安建设、扫黑除恶斗争、司法、依法行政、法治建设、禁毒等工作；负责安全生产、防汛抗旱、森林防灭火、防灾减灾救灾、消防安全等工作；负责组织开展应急知识宣传普及和应急演练，做好自然灾害、事故灾难、公共卫生事件等突发事件的应急处置等工作；坚持和发展新时代“枫桥经验”，积极协调处理化解发生在辖区内的信访事项和矛盾纠纷。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6、负责辖区内水、大气、土壤、农环整治、噪声、固体废物等环境污染防治和生态环境保护等事务性工作；负责生态环境保护宣传教育、生态环境普法等相关工作；协助辖区内生态环境信访、举报、纠纷调处等工作，发现问题及时报告；协助突发环境事件处置、突出环境问题整改、环境执法、环境风险隐患排查、生态环境损害赔偿处理等工作。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7、负责自然资源、规划建设、耕地保护、测量标志保护管理、土地征收、拆迁安置、城市更新、房屋安全、物业管理等事务性工作；负责重点工程项目等建设领域的协调服务工作。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8、负责农业、林业、水利、农业机械、畜牧兽医水产等基层农业技术推广，农作物病虫害监测与防治、动植物疫病防控防治、农田水利建设、农产品质量安全监测、人居环境等服务性、技术性工作；负责农业产业发展、农村集体经济发展、乡村振兴、防止返贫监测等事务性工作。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9、负责贯彻宣传落实退役军人有关政策，维护退役军人合法权益；做好退役军人和其他优抚对象思想政治引领、来访接待、政策解答、信访事项办理、优抚帮扶和走访慰问工作；配合做好优抚金发放、退役军人关系转接、档案移交、属地退役军人数据库建设维护等工作；引导推荐扶持退役军人创业就业。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10、负责辖区内综合行政执法及城市管理职责。负责统一指挥管理、统筹使用城市管理和其他执法力量，开展综合行政执法工作；负责协同配合上级执法机构开展联合执法等相关工作；负责推进行政执法规范化建设，提升执法效能；负责辖区市容环境卫生、园林绿化建设维护、市政公用设施运行、拆违控违和依法承担的其他城市综合管理工作。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11、负责编制街道年度财政预决算草案并组织执行；负责非税收入、国有资产和债权债务管理；负责财政性资金的监督管理；负责街道和村（社区）级财务核算、管理；负责财政票据、涉农补贴资金的发放管理和监督；负责街道和村（社区）级财政资金的内部监管和审计以及村（社区）级、组级财务的业务指导；负责收入征收的组织协调等工作。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（二）机构设置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长沙市望城区</w:t>
      </w:r>
      <w:r>
        <w:rPr>
          <w:rFonts w:ascii="仿宋" w:eastAsia="仿宋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乌山</w:t>
      </w: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街道办事处内设机构11个包括：党政办公室、党建办公室、经济发展办公室、民生事务办公室、平安法治和应急管理办公室、生态事务中心、自然资源和城市建设事务中心、农业综合服务中心、退役军人服务站、综合行政执法大队、财政办公室。本部门共有编制人数12</w:t>
      </w:r>
      <w:r>
        <w:rPr>
          <w:rFonts w:ascii="仿宋" w:eastAsia="仿宋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8</w:t>
      </w: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人，实有人数122人。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二、部门预算单位构成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长沙市望城区乌山街道办事处部门只有本级，没有其他二级预算单位，因此，纳入2025年部门预算编制范围的只有长沙市望城区乌山街道办事处部门本级。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三、部门收支总体情况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（一）收入预算：包括一般公共预算、政府性基金、国有资本经营预算等财政拨款收入，以及经营收入、事业收入等单位资金。2025年本部门收入预算3396.81万元，其中，一般公共预算拨款收入3396.81万元。收入较去年减少1</w:t>
      </w:r>
      <w:r>
        <w:rPr>
          <w:rFonts w:ascii="仿宋" w:eastAsia="仿宋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1</w:t>
      </w: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4</w:t>
      </w:r>
      <w:r>
        <w:rPr>
          <w:rFonts w:ascii="仿宋" w:eastAsia="仿宋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363.95</w:t>
      </w: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万元，主要原因是其他收入资金未纳入一般公共预算拨款收入。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（二）支出预算：2025年本部门支出预算3396.81万元。一般公共服务支出2,349.18万元，社会保障和就业支出585.75万元，卫生健康支出145.03万元，城乡社区支出14.00万元，住房保障支出302.85万元。支出较去年减少114363.95万元，主要是（往来资金）未纳入。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四、一般公共预算拨款支出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2025年本部门一般公共预算拨款支出预算3396.81万元，具体安排情况如下：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（一）基本支出：2025年本部门基本支出预算数3360.81万元，是指为保障单位机构正常运转、完成日常工作任务而发生的各项支出，包括用于基本工资、津贴补贴等人员经费以及办公费、印刷费、水电费、办公设备购置等日常公用经费。其中人员经费3</w:t>
      </w:r>
      <w:r>
        <w:rPr>
          <w:rFonts w:ascii="仿宋" w:eastAsia="仿宋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251.31</w:t>
      </w: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万元，公用经费109.50万元。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（二）项目支出：2025年本部门项目支出预算</w:t>
      </w:r>
      <w:r>
        <w:rPr>
          <w:rFonts w:ascii="仿宋" w:eastAsia="仿宋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36</w:t>
      </w: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万元，是指单位为完成特定行政工作任务或事业发展目标而发生的支出，包括有关事业发展专项、专项业务费、基本建设支出、对街镇专项补助等，其中：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其他城乡社区管理事务支出</w:t>
      </w:r>
      <w:r>
        <w:rPr>
          <w:rFonts w:ascii="仿宋" w:eastAsia="仿宋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36</w:t>
      </w: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万元，主要用于文明城市、卫生城市创建、平安法治工作等方面。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五、政府性基金预算支出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2025年本部门无政府性基金安排的支出，故政府性基金预算表为空。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六、其他重要事项的情况说明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（一）机关运行经费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2025年本部门机关运行经费109.50万元，比上年预算</w:t>
      </w:r>
      <w:r>
        <w:rPr>
          <w:rFonts w:ascii="仿宋" w:eastAsia="仿宋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减少6.36</w:t>
      </w: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万元，比上年预算</w:t>
      </w:r>
      <w:r>
        <w:rPr>
          <w:rFonts w:ascii="仿宋" w:eastAsia="仿宋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减少5.49</w:t>
      </w: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％，主要原因是</w:t>
      </w:r>
      <w:r>
        <w:rPr>
          <w:rFonts w:ascii="仿宋" w:eastAsia="仿宋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城管</w:t>
      </w: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人员</w:t>
      </w:r>
      <w:r>
        <w:rPr>
          <w:rFonts w:ascii="仿宋" w:eastAsia="仿宋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调出</w:t>
      </w: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使得公用经费</w:t>
      </w:r>
      <w:r>
        <w:rPr>
          <w:rFonts w:ascii="仿宋" w:eastAsia="仿宋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减少</w:t>
      </w: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。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（二）“三公”经费预算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2025年本部门“三公”经费预算数为</w:t>
      </w:r>
      <w:r>
        <w:rPr>
          <w:rFonts w:ascii="仿宋" w:eastAsia="仿宋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27</w:t>
      </w: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万元，其中，公务接待费0万元，公务用车购置及运行费10万元（其中，公务用车购置费0万元，公务用车运行费</w:t>
      </w:r>
      <w:r>
        <w:rPr>
          <w:rFonts w:ascii="仿宋" w:eastAsia="仿宋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27</w:t>
      </w: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万元），因公出国（境）费0万元。2025年“三公”经费预算较2024年增长1</w:t>
      </w:r>
      <w:r>
        <w:rPr>
          <w:rFonts w:ascii="仿宋" w:eastAsia="仿宋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2</w:t>
      </w: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万元，主要原因是公务用车运行费增加。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（三）一般性支出情况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2025年本部门一般性支出109.50万元，其中公务用车运行维护费</w:t>
      </w:r>
      <w:r>
        <w:rPr>
          <w:rFonts w:ascii="仿宋" w:eastAsia="仿宋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27</w:t>
      </w: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万，其他商品和服务支出82.50万元。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（四）政府采购情况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2025年本部门政府采购预算总额</w:t>
      </w:r>
      <w:r>
        <w:rPr>
          <w:rFonts w:ascii="仿宋" w:eastAsia="仿宋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2479.67</w:t>
      </w: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万元，其中，货物类采购预算</w:t>
      </w:r>
      <w:r>
        <w:rPr>
          <w:rFonts w:ascii="仿宋" w:eastAsia="仿宋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169.85</w:t>
      </w: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万元；工程类采购预算</w:t>
      </w:r>
      <w:r>
        <w:rPr>
          <w:rFonts w:ascii="仿宋" w:eastAsia="仿宋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1805</w:t>
      </w: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万元；服务类采购预算</w:t>
      </w:r>
      <w:r>
        <w:rPr>
          <w:rFonts w:ascii="仿宋" w:eastAsia="仿宋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504.82</w:t>
      </w: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万元。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（五）国有资产占用使用及新增资产配置情况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截至2024年12月底，本部门共有公务用车</w:t>
      </w:r>
      <w:r>
        <w:rPr>
          <w:rFonts w:ascii="仿宋" w:eastAsia="仿宋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3</w:t>
      </w: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辆，其中，机要通信用车0辆，应急保障用车0辆，执法执勤用车0辆，特种专业技术用车</w:t>
      </w:r>
      <w:r>
        <w:rPr>
          <w:rFonts w:ascii="仿宋" w:eastAsia="仿宋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1</w:t>
      </w: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辆，其他按照规定配备的公务用车</w:t>
      </w:r>
      <w:r>
        <w:rPr>
          <w:rFonts w:ascii="仿宋" w:eastAsia="仿宋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2</w:t>
      </w: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辆；单位价值50万元以上通用设备0台，单位价值100万元以上专用设备0台。2025年拟新增配置公务用车0辆，其中，机要通信用车0辆，应急保障用车0辆，执法执勤用车0辆，特种专业技术用车0辆，其他按照规定配备的公务用车0辆；新增配备单位价值50万元以上通用设备0台，单位价值100万元以上专用设备0台。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（六）预算绩效目标说明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本部门所有支出实行绩效目标管理。纳入2025年部门整体支出绩效目标的金额为3396.8万元，其中，基本支出</w:t>
      </w:r>
      <w:r>
        <w:rPr>
          <w:rFonts w:ascii="仿宋" w:eastAsia="仿宋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3360.81</w:t>
      </w: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万元；项目支出</w:t>
      </w:r>
      <w:r>
        <w:rPr>
          <w:rFonts w:ascii="仿宋" w:eastAsia="仿宋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36</w:t>
      </w: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万元，具体绩效目标详见报表。</w:t>
      </w:r>
      <w:bookmarkStart w:id="0" w:name="_GoBack"/>
      <w:bookmarkEnd w:id="0"/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七、名词解释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（一）机关运行经费：是指为保障行政单位（包括参照公务员法管理的事业单位）运行用于购买货物和服务的各项资金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（二）“三公”经费：是指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jc w:val="center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br/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jc w:val="center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第二部分：2025年部门预算表（详见附件表格）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1、收支总表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2、收入总表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3、支出总表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4、财政拨款收支总表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5、一般公共预算支出表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6、一般公共预算基本支出表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7、一般公共预算“三公”经费支出表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8、政府性基金预算支出表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9、项目支出绩效目标表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29" w:lineRule="atLeast"/>
        <w:ind w:left="0" w:right="0" w:firstLine="480"/>
        <w:textAlignment w:val="center"/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10、部门整体支出绩效目标表</w:t>
      </w:r>
    </w:p>
    <w:p>
      <w:pPr>
        <w:pStyle w:val="1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Autospacing="0" w:afterAutospacing="0" w:line="29" w:lineRule="atLeast"/>
        <w:ind w:left="0" w:firstLine="480"/>
        <w:textAlignment w:val="center"/>
        <w:rPr>
          <w:rFonts w:ascii="宋体" w:hint="eastAsia"/>
          <w:color w:val="333333"/>
        </w:rPr>
      </w:pPr>
      <w:r>
        <w:rPr>
          <w:rFonts w:ascii="仿宋" w:eastAsia="仿宋" w:hint="eastAsia"/>
          <w:b w:val="0"/>
          <w:bCs w:val="0"/>
          <w:i w:val="0"/>
          <w:iCs w:val="0"/>
          <w:caps w:val="0"/>
          <w:smallCaps w:val="0"/>
          <w:vanish w:val="0"/>
          <w:color w:val="333333"/>
          <w:spacing w:val="0"/>
        </w:rPr>
        <w:t>附件：长沙市望城区乌山街道办事处望城区预算公开表．xlsx</w:t>
      </w:r>
    </w:p>
    <w:sectPr>
      <w:pgSz w:w="11907" w:h="16839"/>
      <w:pgMar w:top="1440" w:right="1800" w:bottom="1440" w:left="1800" w:header="851" w:footer="992" w:gutter="0"/>
      <w:docGrid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Times New Roman">
    <w:panose1 w:val="02020603050405020304"/>
    <w:charset w:val="7A"/>
    <w:family w:val="auto"/>
    <w:pitch w:val="variable"/>
    <w:sig w:usb0="E0002EFF" w:usb1="C000785B" w:usb2="00000009" w:usb3="00000000" w:csb0="400001FF" w:csb1="FFFF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40"/>
  <w:bordersDoNotSurroundHeader/>
  <w:bordersDoNotSurroundFooter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next w:val="15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pPr>
      <w:keepNext w:val="0"/>
      <w:keepLines w:val="0"/>
      <w:pageBreakBefore w:val="0"/>
      <w:widowControl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100" w:beforeAutospacing="1" w:after="100" w:afterAutospacing="1" w:line="240" w:lineRule="auto"/>
      <w:ind w:left="0" w:right="0" w:firstLine="0"/>
      <w:contextualSpacing w:val="0"/>
      <w:jc w:val="left"/>
      <w:textAlignment w:val="auto"/>
      <w:outlineLvl w:val="0"/>
    </w:pPr>
    <w:rPr>
      <w:rFonts w:ascii="宋体" w:eastAsia="宋体"/>
      <w:b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36"/>
      <w:position w:val="0"/>
      <w:sz w:val="48"/>
      <w:szCs w:val="21"/>
      <w:u w:val="none" w:color="auto"/>
      <w:vertAlign w:val="baseline"/>
      <w:em w:val="none"/>
      <w:lang w:val="en-US" w:eastAsia="zh-CN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Normal Indent"/>
    <w:basedOn w:val="0"/>
    <w:next w:val="0"/>
    <w:pPr>
      <w:widowControl w:val="0"/>
      <w:ind w:firstLineChars="200" w:firstLine="20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16">
    <w:name w:val="Normal (Web)"/>
    <w:basedOn w:val="0"/>
    <w:pPr>
      <w:spacing w:beforeAutospacing="1" w:afterAutospacing="1"/>
      <w:jc w:val="left"/>
    </w:pPr>
    <w:rPr>
      <w:kern w:val="0"/>
      <w:sz w:val="24"/>
    </w:rPr>
  </w:style>
  <w:style w:type="character" w:styleId="17">
    <w:name w:val="Strong"/>
    <w:basedOn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B999BD3A-A6A8-456A-ADEF-EA0BF438728D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351</TotalTime>
  <Application>Yozo_Office27021597764231179</Application>
  <Pages>4</Pages>
  <Words>3700</Words>
  <Characters>3927</Characters>
  <Lines>163</Lines>
  <Paragraphs>85</Paragraphs>
  <CharactersWithSpaces>3931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WPS_1508581893</dc:creator>
  <cp:lastModifiedBy>Administrator</cp:lastModifiedBy>
  <cp:revision>1</cp:revision>
  <dcterms:created xsi:type="dcterms:W3CDTF">2025-03-05T03:28:00Z</dcterms:created>
  <dcterms:modified xsi:type="dcterms:W3CDTF">2025-03-13T11:54:36Z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2052-11.1.0.9021</vt:lpwstr>
  </property>
</Properties>
</file>