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jc w:val="both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z w:val="44"/>
          <w:szCs w:val="44"/>
        </w:rPr>
        <w:t>长沙市望城区20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22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年财政预算预计执行情况与202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年财政预算草案的报告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——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在长沙市望城区第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楷体_GB2312" w:cs="Times New Roman"/>
          <w:sz w:val="32"/>
          <w:szCs w:val="32"/>
        </w:rPr>
        <w:t>届人民代表大会第</w:t>
      </w: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二</w:t>
      </w:r>
      <w:r>
        <w:rPr>
          <w:rFonts w:hint="default" w:ascii="Times New Roman" w:hAnsi="Times New Roman" w:eastAsia="楷体_GB2312" w:cs="Times New Roman"/>
          <w:sz w:val="32"/>
          <w:szCs w:val="32"/>
        </w:rPr>
        <w:t>次会议上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eastAsia="zh-CN"/>
        </w:rPr>
        <w:t>长沙市望城</w:t>
      </w:r>
      <w:r>
        <w:rPr>
          <w:rFonts w:hint="default" w:ascii="Times New Roman" w:hAnsi="Times New Roman" w:eastAsia="楷体_GB2312" w:cs="Times New Roman"/>
          <w:sz w:val="32"/>
          <w:szCs w:val="32"/>
        </w:rPr>
        <w:t xml:space="preserve">区财政局局长  吴南军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32"/>
        </w:rPr>
      </w:pPr>
      <w:r>
        <w:rPr>
          <w:rFonts w:hint="default" w:ascii="Times New Roman" w:hAnsi="Times New Roman" w:eastAsia="宋体" w:cs="Times New Roman"/>
          <w:sz w:val="32"/>
          <w:szCs w:val="32"/>
        </w:rPr>
        <w:t>20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宋体" w:cs="Times New Roman"/>
          <w:sz w:val="32"/>
          <w:szCs w:val="32"/>
        </w:rPr>
        <w:t>年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宋体" w:cs="Times New Roman"/>
          <w:sz w:val="32"/>
          <w:szCs w:val="32"/>
        </w:rPr>
        <w:t>月</w:t>
      </w: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宋体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bidi="ar"/>
        </w:rPr>
        <w:t>各位代表：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/>
        <w:jc w:val="left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bidi="ar"/>
        </w:rPr>
        <w:t>受区人民政府委托，现向大会报告望城区20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 w:bidi="ar"/>
        </w:rPr>
        <w:t>22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bidi="ar"/>
        </w:rPr>
        <w:t>年财政预算预计执行情况与202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lang w:bidi="ar"/>
        </w:rPr>
        <w:t>年财政预算草案，请予审查，并请各位政协委员和其他列席人员提出意见。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exact"/>
        <w:jc w:val="center"/>
        <w:textAlignment w:val="auto"/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</w:pP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  <w:t>20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val="en-US" w:eastAsia="zh-CN" w:bidi="ar"/>
        </w:rPr>
        <w:t>22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  <w:t>年财政预算预计执行情况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1"/>
        <w:textAlignment w:val="auto"/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bidi="ar"/>
        </w:rPr>
        <w:t>2022年是党的二十大召开之年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bidi="ar"/>
        </w:rPr>
        <w:t>全区财政工作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>以习近平新时代中国特色社会主义思想为指引，深入贯彻党的二十大精神，全面服务“三高四新”战略定位和使命任务，奋力实施“强省会”战略，严格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bidi="ar"/>
        </w:rPr>
        <w:t>落实区委、区政府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 w:bidi="ar"/>
        </w:rPr>
        <w:t>各项工作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bidi="ar"/>
        </w:rPr>
        <w:t>要求，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自觉接受区人大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及其常委会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、区政协的监督指导，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eastAsia="zh-CN"/>
        </w:rPr>
        <w:t>充分发挥财政职能作用，努力克服疫情和湘江新区体制优化带来的影响，全力服务稳经济大盘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  <w:lang w:val="en-US" w:eastAsia="zh-CN" w:bidi="ar"/>
        </w:rPr>
        <w:t>为加快推动望城经济社会高质量发展和现代化建设提供了</w:t>
      </w:r>
      <w:r>
        <w:rPr>
          <w:rFonts w:hint="default" w:ascii="Times New Roman" w:hAnsi="Times New Roman" w:eastAsia="仿宋_GB2312" w:cs="Times New Roman"/>
          <w:spacing w:val="0"/>
          <w:kern w:val="0"/>
          <w:sz w:val="32"/>
          <w:szCs w:val="32"/>
          <w:highlight w:val="none"/>
        </w:rPr>
        <w:t>坚实的财力保障。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一、一般公共预算执行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收入预算执行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全年预计完成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财政总收入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1257500万元，其中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地方一般公共预算收入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859000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与年初预算持平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支出预算执行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全年预计完成一般公共预算支出1207198万元，比上年实际完成数增长2.64%。分支出功能科目为：一般公共服务支出111788万元，国防支出3734万元，公共安全支出45539万元，教育支出268973万元，科学技术支出36240万元，文化旅游体育与传媒支出21084万元，社会保障和就业支出145539万元，卫生健康支出86653万元，节能环保支出64414万元，城乡社区支出139171万元，农林水支出125741万元，交通运输支出33739万元，资源勘探工业信息等支出26635万元，商业服务业等支出11164万元，金融支出1271万元，自然资源海洋气象等支出11270万元，住房保障支出46740万元，粮油物资储备支出2579万元，灾害防治及应急管理支出10744万元，债务付息支出14180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收支平衡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全年预计地方一般公共预算收入859000万元，上级补助收入373000万元，债务转贷收入16400万元，上年结转58119万元，动用预算稳定调节基金49297万元，政府性基金调入100000万元，收入合计1455816万元。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全年预计一般公共预算支出1207198万元，上解上级支出190000万元（包含上解省级下放共享收入），结转下年58618万元，支出合计1455816万元；收支平衡。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二、政府性基金预算执行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一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收入预算执行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全年预计完成区级政府性基金预算收入1648000万元，其中：国土基金收入1600000万元，城市基础设施配套费收入40000万元，污水处理费收入8000万元。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二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）支出预算执行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全年预计完成政府性基金预算支出2027428万元。其中：国土基金支出1498058万元，城市基础设施配套费支出40000万元，污水处理费支出8000万元，专项债券支出476860万元，其他政府性基金支出4510万元。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）收支平衡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全年预计完成政府性基金预算区级收入1648000万元，债券转贷收入476860万元，上级补助收入4000万元，上年结转4428万元，收入合计2133288万元；政府性基金预算支出2027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28万元，调出资金100000万元，上解上级支出300万元，结转下年5560万元，支出合计2133288万元；收支平衡。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三、国有资本经营预算执行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全年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预计完成国有资本经营预算收入10111万元，全年预计国有资本经营预算支出9666万元，当年结余445万元，历年滚存结余554万元。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四、社保基金预算执行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  <w:t>（一）收入预算执行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完成社保基金预算收入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84535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万元，其中：机关养老保险基金收入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49815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万元，城乡居民基本养老保险基金收入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30098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万元，失业保险基金收入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4622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  <w:t>（二）支出预算执行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全年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完成社保基金预算支出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76352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万元，其中：机关养老保险基金支出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45629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万元，城乡居民基本养老保险基金支出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25184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万元，失业保险基金支出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5539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highlight w:val="none"/>
        </w:rPr>
        <w:t>（三）收支平衡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社保基金预算收入84535万元，社保基金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支出76352万元，当年结余8183万元，历年滚存结余61691万元。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地方政府</w:t>
      </w:r>
      <w:r>
        <w:rPr>
          <w:rFonts w:hint="default" w:ascii="Times New Roman" w:hAnsi="Times New Roman" w:eastAsia="黑体" w:cs="Times New Roman"/>
          <w:sz w:val="32"/>
          <w:szCs w:val="32"/>
        </w:rPr>
        <w:t>债务情况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2022年省财政厅下达我区新增政府债务限额49.23亿元，结转上年度剩余一般债务限额0.1亿元，2022年限额合计49.33亿元（一般债务1.64亿元，专项债务47.69亿元）。截至2022年1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月底，我区政府债务限额227.4亿元（一般债务40.93亿元，专项债务186.47亿元），政府债务余额227.31亿元（一般债务40.84亿元，专项债务186.47亿元），余额控制在限额以内，政府债务风险总体可控。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snapToGrid w:val="0"/>
        <w:spacing w:line="60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bidi="ar"/>
        </w:rPr>
        <w:t>六、20</w:t>
      </w: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val="en-US" w:eastAsia="zh-CN" w:bidi="ar"/>
        </w:rPr>
        <w:t>22</w:t>
      </w: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bidi="ar"/>
        </w:rPr>
        <w:t>年财政</w:t>
      </w: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val="en-US" w:eastAsia="zh-CN" w:bidi="ar"/>
        </w:rPr>
        <w:t>工作特点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  <w:t>培源抓收稳中有增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全力服务稳经济大盘，着力培源生财，实现财政收入稳中有增。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“纾困增效”帮实体。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落实落细中央政策，新增减税降费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29.8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亿元。兑现产业扶持、纾困增效资金约6亿元，提供中小企业无费担保、融资转贷、贷款贴息等政策优惠资金3380万元，有力推动“一主三特”产业发展，新增规模工业企业18家，加快释放澳优乳业、中信戴卡等龙头企业发展潜能，助推智能创造等企业实现研发创新、成果转化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eastAsia="zh-CN"/>
        </w:rPr>
        <w:t>，有效支持实体经济增长和稳住税收贡献。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二是助推项目稳增长。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投入重点项目建设资金16.7亿元，推动香炉洲大桥、腾飞路、银杉路综合提质改造等重大项目建设。争取政府专项债券资金47.69亿元，确保湘江古镇群配套工程、经开区大河西交通物流枢纽区等重点项目顺利推进，实现了投资拉动增长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三是盘活“三资”提效益。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用好“用、售、租、融”四种“三资”盘活方式，全年盘活“三资”19.6亿元，实现税收5.8亿元。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四是强化征管促增收。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充分发挥“三高四新”财源建设工作机制和税务、资规、住建、国资等部门、街镇、园区作用，用好用活综合治税平台，提高收入组织精准性和实效性，预计全年地方收入增幅、收入质量稳居全市前列。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  <w:t>（二）节支裕民保障有力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坚持党政机关带头过“紧日子”，压减非刚性支出，节约资金保障民生支出。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一是社会保障更加有力。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高基础养老金、医疗保险缴费补助标准，增发65岁以上人员老年基础养老金，降低医疗救助起付线。落实人才新政经费保障，推动人才和就业政策兑现。支持街镇敬老院、卫生院建设改造，积极探索“卫生院+养老服务”医养结合的望城健康养老服务新模式，全力服务保障好疫情防控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二是教科文体事业稳步发展。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支持新增公办幼儿园学位1万个，公办幼儿园在园幼儿占比达54%。完成银杉九年一贯制学校、前进小学等义务学校建设，新增学位1.2万个。支持推进城区、农村学校校舍安全隐患排查。支持引进麓山国际，长郡双语等4所品牌学校合作办学，推动教育资源配置优化升级。加大对企业创新支持力度，对众创空间、创新服务平台、高新技术企业、科技创新小巨人企业等进行奖补。支持推进城乡公共文化服务体系建设，加大乡村文化基础设施建设力度，支持开展全民健身活动。全力保障好长沙市首届文旅发展大会筹办，展示望城全域旅游形象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三是城市建管质效提升。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入推进市政道路公共路灯设施功能性修复、金星北路两厢景观照明提质等项目建设。加大对城乡环境卫生、污染防治投入力度，全力支持打好污染防治攻坚战。大力推进自建房安全隐患排查整治工作，加快推进老旧小区提质改造工程，打造街角花园。支持重点打造智慧交通等应用场景，持续推进智慧城市项目建设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四是乡村振兴成效明显。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支持巩固拓展脱贫攻坚成果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乡村振兴有效衔接。支持全区粮食生产，打造2.22万亩高标准农田，建设工厂化育秧基地，足额发放种粮补贴。深入推进美丽宜居村庄建设，持续支持发展壮大村级集体经济。支持农村公路建设养护、行政村通公交工程，改善农业水利设施，推动农业产业高质量高水平发展。支持提质村级党群服务阵地，打造党建示范点，发挥党建引领基层治理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  <w:t>（三）财政管理提质增效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着力优化财政管理，理财水平有效提升。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一是预算管理更加优化。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全面实行“预算一体化”，将预算编制、资金支付、会计核算纳入一体化系统，实现预算全流程规范化管理。积极对接市对区体制调整优化和“一镇两街”托管工作，加强沟通协调，确保收支运行平稳。将绩效理念和方法深度融入预算编制、执行、监督全过程，将落实全区重大决策部署作为绩效管理重点，全年共对25个项目和单位开展重点绩效评价。加强国库库款管理，优先“三保”等重点支出。精简资金支付财政流程，将资金拨付最后环节下沉单位，实现财政资金直付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二是债务管理更加规范。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建立健全政府性债务风险应急处置工作机制，按照“一债一策”落实债务化解计划，及时足额筹措隐性债务化解资金，强化债务风险监测管理，跟踪分析潜在风险，制定国有企业风险处置预案，全区债务风险整体可控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三是财政评审效能持续提升。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不断优化评审系统，规范评审流程，加速积压项目办理，推进财政投资评审工作规范化、科学化。</w:t>
      </w:r>
      <w:r>
        <w:rPr>
          <w:rFonts w:hint="default" w:ascii="Times New Roman" w:hAnsi="Times New Roman" w:eastAsia="仿宋_GB2312" w:cs="Times New Roman"/>
          <w:spacing w:val="-6"/>
          <w:sz w:val="32"/>
          <w:lang w:val="en-US" w:eastAsia="zh-CN"/>
        </w:rPr>
        <w:t>全年预计完成项目评审1073个，送审总金额55.04亿元，核减总额3.39亿元，核减率为6.16%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</w:rPr>
        <w:t>。</w:t>
      </w:r>
      <w:r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lang w:val="en-US" w:eastAsia="zh-CN" w:bidi="ar"/>
        </w:rPr>
        <w:t>四是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政府采购制度改革纵深推进。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创新政府采购管理模式，构建权责清晰、运行高效、监管有力、服务优化的政府采购监管新机制。发挥政府采购政策功能，支持绿色低碳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采购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，助力乡村振兴，促进中小微企业发展，政府采购授予中小微企业的合同金额约占全区政府采购规模的72%。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五是清廉财政建设全面实施。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制定廉政建设工作任务清单，健全内控机制，选聘财政监督员，明确外部监督、内部监督、廉政监督及内控管理四项主要职责，建立“全员参与、全面覆盖、全部监控”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sz w:val="32"/>
          <w:szCs w:val="32"/>
          <w:lang w:val="en-US" w:eastAsia="zh-CN"/>
        </w:rPr>
        <w:t>工作机制，推动财政业务监督与廉政监督的有机结合、相互促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各位代表，2022年既面临着经济下行、疫情影响、减税降费等带来的减收冲击，又要统筹保障好抗疫支出、民生事业、重点项目等刚性支出，全年财政运行紧平衡状态更加突出。在这样矛盾交织的局面下，全区上下团结拼搏、克难攻坚，圆满完成年度目标，各项事业稳步发展。下一步，我们将继续落实积极的财政政策，增收节支，进一步提高财政资金使用效益，在新征程中助推望城经济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社会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高质量发展。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exact"/>
        <w:jc w:val="center"/>
        <w:textAlignment w:val="auto"/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</w:pP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  <w:t>202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val="en-US" w:eastAsia="zh-CN" w:bidi="ar"/>
        </w:rPr>
        <w:t>3</w:t>
      </w:r>
      <w:r>
        <w:rPr>
          <w:rFonts w:hint="default" w:ascii="Times New Roman" w:hAnsi="Times New Roman" w:eastAsia="黑体" w:cs="Times New Roman"/>
          <w:kern w:val="0"/>
          <w:sz w:val="36"/>
          <w:szCs w:val="36"/>
          <w:highlight w:val="none"/>
          <w:lang w:bidi="ar"/>
        </w:rPr>
        <w:t>年财政预算草案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3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全面贯彻党的二十大精神的开局之年，也是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实施“十四五”规划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承上启下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的关键之年，</w:t>
      </w:r>
      <w:r>
        <w:rPr>
          <w:rFonts w:hint="default" w:ascii="Times New Roman" w:hAnsi="Times New Roman" w:eastAsia="仿宋_GB2312" w:cs="Times New Roman"/>
          <w:sz w:val="32"/>
          <w:szCs w:val="40"/>
        </w:rPr>
        <w:t>面对</w:t>
      </w:r>
      <w:r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  <w:t>宏观经济普遍承压和巨大的不确定性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，我们将坚决贯彻落实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中央、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省、市、区各项决策部署，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坚定信心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踔厉奋发、笃行不怠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奋力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谱写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现代化新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望城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财政新篇章。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bidi="ar"/>
        </w:rPr>
        <w:t>202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bidi="ar"/>
        </w:rPr>
        <w:t>年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eastAsia="zh-CN" w:bidi="ar"/>
        </w:rPr>
        <w:t>财政工作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bidi="ar"/>
        </w:rPr>
        <w:t>的指导思想是：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以习近平新时代中国特色社会主义思想为指导，全面贯彻落实党的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二十大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精神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和中央、省、市经济工作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会议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部署，</w:t>
      </w:r>
      <w:r>
        <w:rPr>
          <w:rFonts w:hint="default" w:ascii="Times New Roman" w:hAnsi="Times New Roman" w:eastAsia="黑体" w:cs="Times New Roman"/>
          <w:b w:val="0"/>
          <w:bCs w:val="0"/>
          <w:spacing w:val="-2"/>
          <w:sz w:val="32"/>
          <w:szCs w:val="32"/>
          <w:lang w:eastAsia="zh-CN"/>
        </w:rPr>
        <w:t>按照区委三届三次全会要求，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健全现代预算制度，推进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积极的财政政策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加力增效</w:t>
      </w:r>
      <w:r>
        <w:rPr>
          <w:rFonts w:hint="default" w:ascii="Times New Roman" w:hAnsi="Times New Roman" w:eastAsia="黑体" w:cs="Times New Roman"/>
          <w:b w:val="0"/>
          <w:bCs w:val="0"/>
          <w:spacing w:val="-2"/>
          <w:sz w:val="32"/>
          <w:szCs w:val="32"/>
        </w:rPr>
        <w:t>，</w:t>
      </w:r>
      <w:r>
        <w:rPr>
          <w:rFonts w:hint="default" w:ascii="Times New Roman" w:hAnsi="Times New Roman" w:eastAsia="黑体" w:cs="Times New Roman"/>
          <w:b w:val="0"/>
          <w:bCs w:val="0"/>
          <w:spacing w:val="-2"/>
          <w:sz w:val="32"/>
          <w:szCs w:val="32"/>
          <w:lang w:eastAsia="zh-CN"/>
        </w:rPr>
        <w:t>更加提升资金效益和政策效能</w:t>
      </w:r>
      <w:r>
        <w:rPr>
          <w:rFonts w:hint="default" w:ascii="Times New Roman" w:hAnsi="Times New Roman" w:eastAsia="黑体" w:cs="Times New Roman"/>
          <w:b w:val="0"/>
          <w:bCs w:val="0"/>
          <w:spacing w:val="-2"/>
          <w:sz w:val="32"/>
          <w:szCs w:val="32"/>
        </w:rPr>
        <w:t>，</w:t>
      </w:r>
      <w:r>
        <w:rPr>
          <w:rFonts w:hint="default" w:ascii="Times New Roman" w:hAnsi="Times New Roman" w:eastAsia="黑体" w:cs="Times New Roman"/>
          <w:b w:val="0"/>
          <w:bCs w:val="0"/>
          <w:spacing w:val="-2"/>
          <w:sz w:val="32"/>
          <w:szCs w:val="32"/>
          <w:lang w:eastAsia="zh-CN"/>
        </w:rPr>
        <w:t>牢牢守住不发生系统性风险的底线，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为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全面建设产强、城美、民富、人和的现代化新望城提供坚实保障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bidi="ar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6" w:firstLineChars="200"/>
        <w:textAlignment w:val="auto"/>
        <w:rPr>
          <w:rFonts w:hint="default" w:ascii="Times New Roman" w:hAnsi="Times New Roman" w:eastAsia="仿宋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val="en-US" w:eastAsia="zh-CN" w:bidi="ar"/>
        </w:rPr>
        <w:t>2023年预算编制原则和思路是：</w:t>
      </w:r>
      <w:r>
        <w:rPr>
          <w:rFonts w:hint="default" w:ascii="Times New Roman" w:hAnsi="Times New Roman" w:eastAsia="黑体" w:cs="Times New Roman"/>
          <w:b w:val="0"/>
          <w:bCs w:val="0"/>
          <w:spacing w:val="-6"/>
          <w:kern w:val="0"/>
          <w:sz w:val="32"/>
          <w:szCs w:val="32"/>
          <w:lang w:val="en-US" w:eastAsia="zh-CN" w:bidi="ar"/>
        </w:rPr>
        <w:t>坚持“零基”预算理念，坚持兜牢“三保”底线，坚持过“紧日子”，坚持统筹兼顾。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一、一般公共预算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（一）一般公共预算收入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1143000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（二）一般公共预算支出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  <w:lang w:val="en-US" w:eastAsia="zh-CN"/>
        </w:rPr>
        <w:t>1061800</w:t>
      </w: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万元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区级安排一般公共预算支出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851800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万元。分支出功能科目为：一般公共服务支出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108541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万元，国防支出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3386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万元，公共安全支出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43814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万元，教育支出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196355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万元，科学技术支出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26043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万元，文化旅游体育与传媒支出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11644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万元，社会保障和就业支出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66057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万元，卫生健康支出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54878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万元，节能环保支出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26113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万元，城乡社区支出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111498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万元，农林水支出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67582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万元，交通运输支出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24403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万元，资源勘探工业信息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21995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万元，商业服务业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支出10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478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万元，金融支出3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万元，自然资源海洋气象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10524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万元，住房保障支出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22909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万元，粮油物资储备支出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1696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万元，灾害防治及应急管理支出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9529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万元，债务付息支出1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000万元，预备费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0000万元。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上级专项补助支出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210000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万元，按照上级明确的项目予以安排，主要用于教育、科技、社保、农林水等民生支出。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color w:val="auto"/>
          <w:sz w:val="32"/>
          <w:szCs w:val="32"/>
          <w:highlight w:val="none"/>
        </w:rPr>
        <w:t>（三）一般公共预算平衡情况。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地方一般公共预算收入412000万元，上级补助收入741800万元（财力性补助收入531800万元、上级专项补助收入210000万元），上年结转58618万元，收入合计1212418万元；一般公共预算支出1061800万元，上解上级支出94000万元，结转下年56618万元，支出合计1212418万元；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需要说明的是：一是“一镇两街”托管后，托管区域的收支基数相应划转湘江新区，湘江新区将根据核定的收支基数给予我区基础性财力补偿。二是市对区体制调整优化后，从2023年起，部分收入征管主体、收入级次、分享比例等发生变化，市级将核定我区一般公共预算收入基数，实行“存量全返、增量分享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二、政府性基金预算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（一）政府性基金预算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收入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955000万元。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上级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补助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835000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其中：国土基金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上级补助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799000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万元，城市基础设施配套费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上级补助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30000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万元，污水处理费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上级补助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。国有资本经营预算调入资金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120000万元。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（二）政府性基金预算支出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955000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万元。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区级安排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政府性基金预算支出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955000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其中：国土基金支出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919000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城市基础设施配套费支出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30000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万元，污水处理费支出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6000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政府性基金收支平衡情况。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上级补助收入835000万元，国有资本经营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预算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调入120000万元，上年结转5560万元，收入合计96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560万元；政府性基金预算支出955000万元，上解上级支出300万元，结转下年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260万元，支出合计96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560万元；收支平衡。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需要说明的是：市对区体制优化后，政府性基金收入全部为市级收入。其中：国土基金收入市级计提轨道交通发展专项基金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（6%）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后补助给我区，城市基础设施配套费、污水处理费全额补助给我区。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三、国有资本经营预算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（一）国有资本经营预算收入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123636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为国有控股、参股公司分红上缴收入。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其中城发集团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60000万元、产投集团60000万元、经开区投资建设集团3200万元、担保公司290万元、望城区粮油购销公司66万元、国信测绘公司80万元。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（二）国有资本经营预算支出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123636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主要用于企业扶持和解决历史遗留问题。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其中经开区投资建设集团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3200万元、粮食系统历史遗留问题处理66万元、调入政府性基金预算120000万元，结转下年370万元。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（三）国有资本经营预算平衡情况。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国有资本经营预算收入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123636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万元，国有资本经营预算支出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123636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万元；收支平衡。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四、社保基金预算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（一）社保基金预算收入77798万元，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其中：机关养老保险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基金收入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47490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万元，城乡居民基本养老保险基金收入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30308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（二）社保基金预算支出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  <w:lang w:val="en-US" w:eastAsia="zh-CN"/>
        </w:rPr>
        <w:t>71006</w:t>
      </w: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万元，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其中：机关养老保险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基金支出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46247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万元，城乡居民基本养老保险基金支出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24759</w:t>
      </w:r>
      <w:r>
        <w:rPr>
          <w:rFonts w:hint="default" w:ascii="Times New Roman" w:hAnsi="Times New Roman" w:eastAsia="仿宋_GB2312" w:cs="Times New Roman"/>
          <w:spacing w:val="-6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3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z w:val="32"/>
          <w:szCs w:val="32"/>
        </w:rPr>
        <w:t>（三）社保基金预算平衡情况。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社保基金预算收入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77798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万元，社保基金预算支出71006万元，当年结余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6792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万元，历年滚存结余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68483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6" w:firstLineChars="200"/>
        <w:textAlignment w:val="auto"/>
        <w:rPr>
          <w:rFonts w:hint="default" w:ascii="Times New Roman" w:hAnsi="Times New Roman" w:eastAsia="黑体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val="en-US" w:eastAsia="zh-CN" w:bidi="ar"/>
        </w:rPr>
        <w:t>五</w:t>
      </w: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bidi="ar"/>
        </w:rPr>
        <w:t>、</w:t>
      </w:r>
      <w:r>
        <w:rPr>
          <w:rFonts w:hint="default" w:ascii="Times New Roman" w:hAnsi="Times New Roman" w:eastAsia="黑体" w:cs="Times New Roman"/>
          <w:spacing w:val="-6"/>
          <w:kern w:val="0"/>
          <w:sz w:val="32"/>
          <w:szCs w:val="32"/>
          <w:lang w:val="en-US" w:eastAsia="zh-CN" w:bidi="ar"/>
        </w:rPr>
        <w:t>工作重点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6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highlight w:val="none"/>
          <w:lang w:val="en-US" w:eastAsia="zh-CN" w:bidi="ar"/>
        </w:rPr>
        <w:t>2023年，全区财税部门将按照本次人大会议审查批准的年度预算，重点抓好以下四个方面工作：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  <w:t>（一）</w:t>
      </w: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bidi="ar"/>
        </w:rPr>
        <w:t>大力推进财政经济高质量增长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坚持以高质量发展带动高质量增长。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加大财源建设力度，加快支持产业优化升级，突出亩均效益导向，加快推动园区“腾笼换鸟”，引进产业前景好、土地利用率高、税收贡献大的项目，提升园区产出效益。着力培育骨干税源企业，持续支持制造业高质量发展</w:t>
      </w:r>
      <w:r>
        <w:rPr>
          <w:rFonts w:hint="default" w:ascii="Times New Roman" w:hAnsi="Times New Roman" w:eastAsia="仿宋_GB2312" w:cs="Times New Roman"/>
          <w:sz w:val="32"/>
          <w:szCs w:val="40"/>
          <w:lang w:eastAsia="zh-CN"/>
        </w:rPr>
        <w:t>，构建主业突出、特色鲜明的产业链，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培育壮大“一主三特”产业体系。支持房地产业健康平稳发展，大力引进其他现代服务业入驻。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持续纾困实体经济，全面落实减税降费政策，充分发挥纾困资金、产业政策精准帮扶作用，用好财政融资担保、融资转贷等金融手段支持中小企业解决融资难题，增强市场主体活力，稳定实体经济信心。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支持重大项目建设，多措并举筹措资金，用好用活政府债券，积极引入社会资本，大力支持“一堤两路”、海归小镇等“一江两岸”重大基础设施项目建设，全力推动地铁四号线北延线启动建设，推动区域经济稳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  <w:t>（二）着力建立可持续民生保障机制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树牢党政机关长期过“紧日子”思想，把保障和改善民生建立在经济发展和财力可持续基础之上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强化就业优先政策实施，加强困难群体就业兜底帮扶。优化医疗保险、医疗服务与救治工作，支持人民医院新院搬迁和街镇卫生院建设。大力保障城乡低保特困人员、优抚对象、残疾人、高龄老人、孤儿及困境儿童等特殊群体，加快完善多层次的社会保障体系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持续支持建设高质量教育体系，优化教育支出结构，加强教师队伍建设，切实保障职业教育发展，解决城区学位供需矛盾，促进义务教育优质均衡发展和城乡教育一体化。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三是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支持建立健全普惠性公共文化服务体系，扩大优质文化产品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和服务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供给，满足群众多样化文化需求。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四是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深入推进乡村振兴战略实施，不断调整优化财政支持政策，巩固拓展脱贫攻坚成果与乡村振兴有效衔接。进一步夯实农田水利基础设施建设，支持粮食生产安全。不断改善农村人居环境，大力发展农业特色产业，继续扶持壮大村级集体经济发展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五是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推动城管体制改革，提高城市园林绿化、环卫保洁水平，加强大气、噪声、扬尘污染治理。完善市政设施建设，提高城市应急能力，打造智慧城市，提升城市品质，增进民生福祉。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  <w:t>（三）深入推进现代预算制度改革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40"/>
          <w:lang w:val="en-US" w:eastAsia="zh-CN"/>
        </w:rPr>
        <w:t>进一步完善预算管理制度，提升预算管理规范化、科学化、标准化水平。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加强预算统筹，增强保障能力。优化资源配置，提升财政政策资金效能。规范预算执行，硬化预算约束，严格预算监管，提高预算管理信息化水平。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default" w:ascii="Times New Roman" w:hAnsi="Times New Roman" w:eastAsia="仿宋_GB2312" w:cs="Times New Roman"/>
          <w:sz w:val="32"/>
          <w:szCs w:val="40"/>
          <w:lang w:val="en-US" w:eastAsia="zh-CN"/>
        </w:rPr>
        <w:t>严格落实政府债务限额管理，坚决遏制隐性债务增量，妥善化解存量，强化债务全过程、多方位监管，牢牢守住不发生系统性风险的底线。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val="en-US" w:eastAsia="zh-CN" w:bidi="ar"/>
        </w:rPr>
        <w:t>三是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推进预算绩效管理提质增效，将预算绩效管理的理念贯穿资金、资产、资源配置全过程，花钱必问效，无效必问责，将绩效评价结果与完善政策、调整预算安排有效衔接。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19" w:firstLineChars="200"/>
        <w:jc w:val="left"/>
        <w:textAlignment w:val="auto"/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</w:pPr>
      <w:r>
        <w:rPr>
          <w:rFonts w:hint="default" w:ascii="Times New Roman" w:hAnsi="Times New Roman" w:eastAsia="楷体_GB2312" w:cs="Times New Roman"/>
          <w:b/>
          <w:bCs/>
          <w:spacing w:val="-6"/>
          <w:kern w:val="0"/>
          <w:sz w:val="32"/>
          <w:szCs w:val="32"/>
          <w:highlight w:val="none"/>
          <w:lang w:eastAsia="zh-CN" w:bidi="ar"/>
        </w:rPr>
        <w:t>（四）持续提高财政管理效能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进一步健全财政管理制度，推动财政管理效能再提升。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 w:bidi="ar"/>
        </w:rPr>
        <w:t>一是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着力完善节约型财政保障机制，集约节约利用政府资源，严格非生产性支出，降低公务活动成本，构建节约型机关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 w:bidi="ar"/>
        </w:rPr>
        <w:t>二是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进一步健全财政评审制度，完善投资评审操作规程和评审程序，规范评审业务运行管理，统一评审标准，持续提升评审质效。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 w:bidi="ar"/>
        </w:rPr>
        <w:t>三是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不断完善政府采购机制，优化采购组织方式，提高采购绩效，推动绿色采购发展，依法保障各类市场主体公平参与政府采购竞争，持续优化政府采购营商环境。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lang w:eastAsia="zh-CN" w:bidi="ar"/>
        </w:rPr>
        <w:t>四是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  <w:t>着力锤炼财政专业人才队伍，进一步强化思想淬炼、政治历练、实践锻炼、专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kern w:val="0"/>
          <w:sz w:val="32"/>
          <w:szCs w:val="32"/>
          <w:lang w:val="en-US" w:eastAsia="zh-CN" w:bidi="ar"/>
        </w:rPr>
        <w:t>业训练，引导财政干部永葆“闯”的精神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、“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kern w:val="0"/>
          <w:sz w:val="32"/>
          <w:szCs w:val="32"/>
          <w:lang w:val="en-US" w:eastAsia="zh-CN" w:bidi="ar"/>
        </w:rPr>
        <w:t>创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kern w:val="0"/>
          <w:sz w:val="32"/>
          <w:szCs w:val="32"/>
          <w:lang w:eastAsia="zh-CN" w:bidi="ar"/>
        </w:rPr>
        <w:t>”</w:t>
      </w:r>
      <w:r>
        <w:rPr>
          <w:rFonts w:hint="default" w:ascii="Times New Roman" w:hAnsi="Times New Roman" w:eastAsia="仿宋_GB2312" w:cs="Times New Roman"/>
          <w:b w:val="0"/>
          <w:bCs w:val="0"/>
          <w:spacing w:val="-6"/>
          <w:kern w:val="0"/>
          <w:sz w:val="32"/>
          <w:szCs w:val="32"/>
          <w:lang w:val="en-US" w:eastAsia="zh-CN" w:bidi="ar"/>
        </w:rPr>
        <w:t>的劲头、“干”的作风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各位代表，202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3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年我们将在区委、区政府的正确领导下，自觉接受区人大及其常委会的监督和指导，认真听取区政协的意见和建议，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守正创新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 w:bidi="ar"/>
        </w:rPr>
        <w:t>埋头苦干，团结拼搏，奋勇前进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，为建设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现代化新望城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bidi="ar"/>
        </w:rPr>
        <w:t>作出新的更大贡献</w:t>
      </w:r>
      <w:r>
        <w:rPr>
          <w:rFonts w:hint="default" w:ascii="Times New Roman" w:hAnsi="Times New Roman" w:eastAsia="仿宋_GB2312" w:cs="Times New Roman"/>
          <w:spacing w:val="-6"/>
          <w:kern w:val="0"/>
          <w:sz w:val="32"/>
          <w:szCs w:val="32"/>
          <w:lang w:bidi="ar"/>
        </w:rPr>
        <w:t>！</w:t>
      </w:r>
    </w:p>
    <w:sectPr>
      <w:pgSz w:w="11906" w:h="16441"/>
      <w:pgMar w:top="1701" w:right="1587" w:bottom="1417" w:left="1587" w:header="851" w:footer="1134" w:gutter="0"/>
      <w:pgNumType w:fmt="decimal" w:start="28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038748"/>
    <w:multiLevelType w:val="singleLevel"/>
    <w:tmpl w:val="9603874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mirrorMargin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1NDM0YWY1YmZjMzIxMTlkM2ZjMDEzMjc2NWI2NjMifQ=="/>
  </w:docVars>
  <w:rsids>
    <w:rsidRoot w:val="077366FF"/>
    <w:rsid w:val="0005446F"/>
    <w:rsid w:val="001A1555"/>
    <w:rsid w:val="0029475B"/>
    <w:rsid w:val="00297FF8"/>
    <w:rsid w:val="00382F58"/>
    <w:rsid w:val="003C55F7"/>
    <w:rsid w:val="00406195"/>
    <w:rsid w:val="00414E3B"/>
    <w:rsid w:val="004A7120"/>
    <w:rsid w:val="005730BC"/>
    <w:rsid w:val="006202CE"/>
    <w:rsid w:val="00642564"/>
    <w:rsid w:val="00652131"/>
    <w:rsid w:val="0066795B"/>
    <w:rsid w:val="006F50C1"/>
    <w:rsid w:val="0070013B"/>
    <w:rsid w:val="00741887"/>
    <w:rsid w:val="008815F4"/>
    <w:rsid w:val="008D331F"/>
    <w:rsid w:val="008E6A77"/>
    <w:rsid w:val="00984A2E"/>
    <w:rsid w:val="00A13BDF"/>
    <w:rsid w:val="00A71F86"/>
    <w:rsid w:val="00A956EB"/>
    <w:rsid w:val="00AB00BF"/>
    <w:rsid w:val="00AD3474"/>
    <w:rsid w:val="00AF1E8F"/>
    <w:rsid w:val="00B70AC6"/>
    <w:rsid w:val="00B973C7"/>
    <w:rsid w:val="00C570E0"/>
    <w:rsid w:val="00CA67D8"/>
    <w:rsid w:val="00CC4DAC"/>
    <w:rsid w:val="00CE097A"/>
    <w:rsid w:val="00D1317E"/>
    <w:rsid w:val="00D20C70"/>
    <w:rsid w:val="00D40E77"/>
    <w:rsid w:val="00D42B17"/>
    <w:rsid w:val="00D62CE3"/>
    <w:rsid w:val="00D70D3D"/>
    <w:rsid w:val="00DD1925"/>
    <w:rsid w:val="00E67812"/>
    <w:rsid w:val="00EF06E5"/>
    <w:rsid w:val="00F110E6"/>
    <w:rsid w:val="00F4565F"/>
    <w:rsid w:val="00F66363"/>
    <w:rsid w:val="00F9075C"/>
    <w:rsid w:val="014E0007"/>
    <w:rsid w:val="018A1427"/>
    <w:rsid w:val="01904306"/>
    <w:rsid w:val="01BC5A03"/>
    <w:rsid w:val="02154759"/>
    <w:rsid w:val="02331ABF"/>
    <w:rsid w:val="02C66843"/>
    <w:rsid w:val="02DE5ECF"/>
    <w:rsid w:val="03046DA6"/>
    <w:rsid w:val="033D0C8E"/>
    <w:rsid w:val="033E4BBF"/>
    <w:rsid w:val="036A26A5"/>
    <w:rsid w:val="03C5669D"/>
    <w:rsid w:val="042042C5"/>
    <w:rsid w:val="044664FB"/>
    <w:rsid w:val="04553F6E"/>
    <w:rsid w:val="04EC3238"/>
    <w:rsid w:val="04FD19A1"/>
    <w:rsid w:val="058E7F6E"/>
    <w:rsid w:val="05E607F3"/>
    <w:rsid w:val="0611788E"/>
    <w:rsid w:val="06B97FA5"/>
    <w:rsid w:val="06CD5EC0"/>
    <w:rsid w:val="06FB4F78"/>
    <w:rsid w:val="070822FA"/>
    <w:rsid w:val="07170239"/>
    <w:rsid w:val="072E48AC"/>
    <w:rsid w:val="077366FF"/>
    <w:rsid w:val="07F71BE3"/>
    <w:rsid w:val="08144D2C"/>
    <w:rsid w:val="083828AA"/>
    <w:rsid w:val="088A61CA"/>
    <w:rsid w:val="08AD266A"/>
    <w:rsid w:val="08B576D2"/>
    <w:rsid w:val="08BC0C40"/>
    <w:rsid w:val="08BD7AF2"/>
    <w:rsid w:val="08C7319E"/>
    <w:rsid w:val="08CF6497"/>
    <w:rsid w:val="08FD2E27"/>
    <w:rsid w:val="091B0DA6"/>
    <w:rsid w:val="092C0103"/>
    <w:rsid w:val="0A1E04B3"/>
    <w:rsid w:val="0A4A298F"/>
    <w:rsid w:val="0AAE209E"/>
    <w:rsid w:val="0AB30B30"/>
    <w:rsid w:val="0AD27399"/>
    <w:rsid w:val="0B0E658F"/>
    <w:rsid w:val="0B417233"/>
    <w:rsid w:val="0BF732F3"/>
    <w:rsid w:val="0C03755F"/>
    <w:rsid w:val="0CA92C00"/>
    <w:rsid w:val="0CD11743"/>
    <w:rsid w:val="0D8C5918"/>
    <w:rsid w:val="0D9866B4"/>
    <w:rsid w:val="0D986AD9"/>
    <w:rsid w:val="0DA645CC"/>
    <w:rsid w:val="0E691D45"/>
    <w:rsid w:val="0E7717C7"/>
    <w:rsid w:val="0E8037DA"/>
    <w:rsid w:val="0E932EC6"/>
    <w:rsid w:val="0ED865F3"/>
    <w:rsid w:val="0EF3685E"/>
    <w:rsid w:val="0F02007F"/>
    <w:rsid w:val="0F1F6049"/>
    <w:rsid w:val="0F425C21"/>
    <w:rsid w:val="0F68330C"/>
    <w:rsid w:val="0FAF33BD"/>
    <w:rsid w:val="0FC93A62"/>
    <w:rsid w:val="0FFC0867"/>
    <w:rsid w:val="0FFF1232"/>
    <w:rsid w:val="102D3AD2"/>
    <w:rsid w:val="103B495C"/>
    <w:rsid w:val="10495795"/>
    <w:rsid w:val="105552F6"/>
    <w:rsid w:val="107A01F3"/>
    <w:rsid w:val="10AA5642"/>
    <w:rsid w:val="11154924"/>
    <w:rsid w:val="1138093B"/>
    <w:rsid w:val="11457119"/>
    <w:rsid w:val="11B20DB7"/>
    <w:rsid w:val="11C56429"/>
    <w:rsid w:val="11DF3CB1"/>
    <w:rsid w:val="124B75F4"/>
    <w:rsid w:val="126C14BA"/>
    <w:rsid w:val="13090D5B"/>
    <w:rsid w:val="136C6430"/>
    <w:rsid w:val="13DA4B49"/>
    <w:rsid w:val="13E37358"/>
    <w:rsid w:val="141D0BDE"/>
    <w:rsid w:val="142E20E6"/>
    <w:rsid w:val="14887A48"/>
    <w:rsid w:val="148D505F"/>
    <w:rsid w:val="1498479A"/>
    <w:rsid w:val="14D31078"/>
    <w:rsid w:val="15063063"/>
    <w:rsid w:val="1540796A"/>
    <w:rsid w:val="15AD0B11"/>
    <w:rsid w:val="160E0421"/>
    <w:rsid w:val="161406DA"/>
    <w:rsid w:val="16D451C7"/>
    <w:rsid w:val="16E3365C"/>
    <w:rsid w:val="17065E61"/>
    <w:rsid w:val="170A047A"/>
    <w:rsid w:val="173A01B7"/>
    <w:rsid w:val="17746772"/>
    <w:rsid w:val="178522D8"/>
    <w:rsid w:val="17BD5C5B"/>
    <w:rsid w:val="17D411F6"/>
    <w:rsid w:val="17E128B1"/>
    <w:rsid w:val="182E7055"/>
    <w:rsid w:val="18371EB1"/>
    <w:rsid w:val="1847241D"/>
    <w:rsid w:val="184C3DC8"/>
    <w:rsid w:val="18502F73"/>
    <w:rsid w:val="189F7A56"/>
    <w:rsid w:val="18A31500"/>
    <w:rsid w:val="194F7294"/>
    <w:rsid w:val="198B5F18"/>
    <w:rsid w:val="1A460D14"/>
    <w:rsid w:val="1AA53A84"/>
    <w:rsid w:val="1AC003DA"/>
    <w:rsid w:val="1AC15A62"/>
    <w:rsid w:val="1AC6341C"/>
    <w:rsid w:val="1AFF658A"/>
    <w:rsid w:val="1B9D556D"/>
    <w:rsid w:val="1C4E71CE"/>
    <w:rsid w:val="1C6F0685"/>
    <w:rsid w:val="1C7E5266"/>
    <w:rsid w:val="1D1F4DE1"/>
    <w:rsid w:val="1D436710"/>
    <w:rsid w:val="1D575AA1"/>
    <w:rsid w:val="1D725739"/>
    <w:rsid w:val="1D9A6C81"/>
    <w:rsid w:val="1DAA7DF9"/>
    <w:rsid w:val="1DD957B9"/>
    <w:rsid w:val="1EC92859"/>
    <w:rsid w:val="1F374FD2"/>
    <w:rsid w:val="1F6D45FE"/>
    <w:rsid w:val="20201F8A"/>
    <w:rsid w:val="205725A1"/>
    <w:rsid w:val="20D87C7B"/>
    <w:rsid w:val="21093207"/>
    <w:rsid w:val="210A20AA"/>
    <w:rsid w:val="21246ABA"/>
    <w:rsid w:val="213351E0"/>
    <w:rsid w:val="2157324D"/>
    <w:rsid w:val="2164183D"/>
    <w:rsid w:val="21763FA1"/>
    <w:rsid w:val="21AE2C2B"/>
    <w:rsid w:val="21E473BA"/>
    <w:rsid w:val="21EA1D42"/>
    <w:rsid w:val="21EC0E68"/>
    <w:rsid w:val="2228564D"/>
    <w:rsid w:val="22B25371"/>
    <w:rsid w:val="22EB23C3"/>
    <w:rsid w:val="23C07FA9"/>
    <w:rsid w:val="23CA3EAF"/>
    <w:rsid w:val="23D16EAF"/>
    <w:rsid w:val="23D335CD"/>
    <w:rsid w:val="242121A5"/>
    <w:rsid w:val="24462EA7"/>
    <w:rsid w:val="244A6115"/>
    <w:rsid w:val="248B2321"/>
    <w:rsid w:val="24D21919"/>
    <w:rsid w:val="251A7A45"/>
    <w:rsid w:val="253405AC"/>
    <w:rsid w:val="255E6441"/>
    <w:rsid w:val="25862424"/>
    <w:rsid w:val="261C6D63"/>
    <w:rsid w:val="26572AAE"/>
    <w:rsid w:val="2677791D"/>
    <w:rsid w:val="26832765"/>
    <w:rsid w:val="26977FBF"/>
    <w:rsid w:val="26A653AD"/>
    <w:rsid w:val="26AA6504"/>
    <w:rsid w:val="26C67A19"/>
    <w:rsid w:val="270C62B7"/>
    <w:rsid w:val="27B84691"/>
    <w:rsid w:val="27C27356"/>
    <w:rsid w:val="27C97AA0"/>
    <w:rsid w:val="28095E0B"/>
    <w:rsid w:val="28673F08"/>
    <w:rsid w:val="28A0515D"/>
    <w:rsid w:val="28EA7C93"/>
    <w:rsid w:val="294D2BB7"/>
    <w:rsid w:val="294E705B"/>
    <w:rsid w:val="29A52147"/>
    <w:rsid w:val="29C225A0"/>
    <w:rsid w:val="29F63F06"/>
    <w:rsid w:val="2A0935C2"/>
    <w:rsid w:val="2A587A97"/>
    <w:rsid w:val="2ABF1892"/>
    <w:rsid w:val="2AD04472"/>
    <w:rsid w:val="2AD46AA2"/>
    <w:rsid w:val="2BB14F1E"/>
    <w:rsid w:val="2C183950"/>
    <w:rsid w:val="2C4B5AD3"/>
    <w:rsid w:val="2CE847DE"/>
    <w:rsid w:val="2CEF7A5E"/>
    <w:rsid w:val="2CFF4435"/>
    <w:rsid w:val="2D01378E"/>
    <w:rsid w:val="2D380F12"/>
    <w:rsid w:val="2DEB38FD"/>
    <w:rsid w:val="2E0B2255"/>
    <w:rsid w:val="2E212BC2"/>
    <w:rsid w:val="2E5A0250"/>
    <w:rsid w:val="2E960F7F"/>
    <w:rsid w:val="2EC53D13"/>
    <w:rsid w:val="2F1E67B8"/>
    <w:rsid w:val="2F2B74F6"/>
    <w:rsid w:val="2F2E6FE6"/>
    <w:rsid w:val="2F4D6CBE"/>
    <w:rsid w:val="2FA23C5C"/>
    <w:rsid w:val="2FDB716E"/>
    <w:rsid w:val="2FF16992"/>
    <w:rsid w:val="301A7179"/>
    <w:rsid w:val="304B38E6"/>
    <w:rsid w:val="308B1B90"/>
    <w:rsid w:val="309A1D1D"/>
    <w:rsid w:val="30D4700E"/>
    <w:rsid w:val="30EE38DF"/>
    <w:rsid w:val="317C228B"/>
    <w:rsid w:val="31B65C76"/>
    <w:rsid w:val="31E312A9"/>
    <w:rsid w:val="31F92CDE"/>
    <w:rsid w:val="320F75A3"/>
    <w:rsid w:val="325062AA"/>
    <w:rsid w:val="32DF17E8"/>
    <w:rsid w:val="33720DC8"/>
    <w:rsid w:val="33B31B1F"/>
    <w:rsid w:val="33B71CA0"/>
    <w:rsid w:val="33C165BA"/>
    <w:rsid w:val="33C43A57"/>
    <w:rsid w:val="34622093"/>
    <w:rsid w:val="35197D2E"/>
    <w:rsid w:val="352C1F8C"/>
    <w:rsid w:val="35CD4A5B"/>
    <w:rsid w:val="35E8508E"/>
    <w:rsid w:val="36767ADB"/>
    <w:rsid w:val="369151DD"/>
    <w:rsid w:val="36BC3E63"/>
    <w:rsid w:val="373901AC"/>
    <w:rsid w:val="37514183"/>
    <w:rsid w:val="378974B0"/>
    <w:rsid w:val="37AB1B1C"/>
    <w:rsid w:val="38113A94"/>
    <w:rsid w:val="382301D4"/>
    <w:rsid w:val="38542D98"/>
    <w:rsid w:val="38615506"/>
    <w:rsid w:val="39176932"/>
    <w:rsid w:val="39412BCF"/>
    <w:rsid w:val="39490FF0"/>
    <w:rsid w:val="395C5E2A"/>
    <w:rsid w:val="39C83849"/>
    <w:rsid w:val="3A730E6C"/>
    <w:rsid w:val="3A8F14ED"/>
    <w:rsid w:val="3AC01CDF"/>
    <w:rsid w:val="3AFA61BB"/>
    <w:rsid w:val="3B6F679A"/>
    <w:rsid w:val="3BB05953"/>
    <w:rsid w:val="3BDA7E48"/>
    <w:rsid w:val="3CAA2A7C"/>
    <w:rsid w:val="3CD45671"/>
    <w:rsid w:val="3D1A13E0"/>
    <w:rsid w:val="3D224C7F"/>
    <w:rsid w:val="3D344362"/>
    <w:rsid w:val="3D7657FB"/>
    <w:rsid w:val="3DBD4202"/>
    <w:rsid w:val="3DE47B36"/>
    <w:rsid w:val="3DFB78E5"/>
    <w:rsid w:val="3E662C34"/>
    <w:rsid w:val="3ED73336"/>
    <w:rsid w:val="3FAF7DFC"/>
    <w:rsid w:val="3FB377C0"/>
    <w:rsid w:val="3FCA54BF"/>
    <w:rsid w:val="3FF62E92"/>
    <w:rsid w:val="401778BF"/>
    <w:rsid w:val="40237083"/>
    <w:rsid w:val="402D3E06"/>
    <w:rsid w:val="40532443"/>
    <w:rsid w:val="411409E6"/>
    <w:rsid w:val="41BD2956"/>
    <w:rsid w:val="41DB5EA6"/>
    <w:rsid w:val="426F1BBB"/>
    <w:rsid w:val="42C23082"/>
    <w:rsid w:val="433B23A0"/>
    <w:rsid w:val="44137971"/>
    <w:rsid w:val="44C62C69"/>
    <w:rsid w:val="44CD0E59"/>
    <w:rsid w:val="44D141D8"/>
    <w:rsid w:val="452E5584"/>
    <w:rsid w:val="453A628D"/>
    <w:rsid w:val="459703D8"/>
    <w:rsid w:val="45EB1CEA"/>
    <w:rsid w:val="45FE72BB"/>
    <w:rsid w:val="464253F9"/>
    <w:rsid w:val="465F0694"/>
    <w:rsid w:val="46C67DD9"/>
    <w:rsid w:val="46F10DEC"/>
    <w:rsid w:val="46F13041"/>
    <w:rsid w:val="46F22B48"/>
    <w:rsid w:val="474D3993"/>
    <w:rsid w:val="47705F96"/>
    <w:rsid w:val="477C0AA2"/>
    <w:rsid w:val="47A85158"/>
    <w:rsid w:val="47C54858"/>
    <w:rsid w:val="47E07B54"/>
    <w:rsid w:val="47F45B42"/>
    <w:rsid w:val="480C54A1"/>
    <w:rsid w:val="481F45A3"/>
    <w:rsid w:val="483B5C2C"/>
    <w:rsid w:val="484D1C78"/>
    <w:rsid w:val="489C7CFF"/>
    <w:rsid w:val="48E56B25"/>
    <w:rsid w:val="48E96000"/>
    <w:rsid w:val="493C6A78"/>
    <w:rsid w:val="495E079C"/>
    <w:rsid w:val="49A62217"/>
    <w:rsid w:val="4A0804EC"/>
    <w:rsid w:val="4A643255"/>
    <w:rsid w:val="4A9D343C"/>
    <w:rsid w:val="4A9F4FAB"/>
    <w:rsid w:val="4B320BC3"/>
    <w:rsid w:val="4B3A487C"/>
    <w:rsid w:val="4B3C503B"/>
    <w:rsid w:val="4B45676A"/>
    <w:rsid w:val="4B656246"/>
    <w:rsid w:val="4BB21D4E"/>
    <w:rsid w:val="4BBE4F6C"/>
    <w:rsid w:val="4BDC284F"/>
    <w:rsid w:val="4C013A59"/>
    <w:rsid w:val="4C374FBD"/>
    <w:rsid w:val="4C3C28EB"/>
    <w:rsid w:val="4C427EE7"/>
    <w:rsid w:val="4C463B1D"/>
    <w:rsid w:val="4D086849"/>
    <w:rsid w:val="4DA35F27"/>
    <w:rsid w:val="4DE17BEE"/>
    <w:rsid w:val="4DEE726A"/>
    <w:rsid w:val="4E6A0403"/>
    <w:rsid w:val="4EB22657"/>
    <w:rsid w:val="4EBC47C0"/>
    <w:rsid w:val="50314E66"/>
    <w:rsid w:val="50BF5CCD"/>
    <w:rsid w:val="5124502A"/>
    <w:rsid w:val="513152FE"/>
    <w:rsid w:val="51422751"/>
    <w:rsid w:val="51D752A3"/>
    <w:rsid w:val="51E5389D"/>
    <w:rsid w:val="524D2D16"/>
    <w:rsid w:val="5297700F"/>
    <w:rsid w:val="52A72EDD"/>
    <w:rsid w:val="52DB4C0C"/>
    <w:rsid w:val="539323B2"/>
    <w:rsid w:val="53AE2320"/>
    <w:rsid w:val="53E62999"/>
    <w:rsid w:val="53E82964"/>
    <w:rsid w:val="54452B0D"/>
    <w:rsid w:val="54726F58"/>
    <w:rsid w:val="54C13334"/>
    <w:rsid w:val="55535020"/>
    <w:rsid w:val="556F2D08"/>
    <w:rsid w:val="55FA4A45"/>
    <w:rsid w:val="560C1EA2"/>
    <w:rsid w:val="562E6334"/>
    <w:rsid w:val="56392E3B"/>
    <w:rsid w:val="567A3BAF"/>
    <w:rsid w:val="56854D70"/>
    <w:rsid w:val="56C87B9D"/>
    <w:rsid w:val="56CF1816"/>
    <w:rsid w:val="57034731"/>
    <w:rsid w:val="580C4F84"/>
    <w:rsid w:val="58237520"/>
    <w:rsid w:val="584A6390"/>
    <w:rsid w:val="58647451"/>
    <w:rsid w:val="587420EA"/>
    <w:rsid w:val="58D46373"/>
    <w:rsid w:val="58E26523"/>
    <w:rsid w:val="59957226"/>
    <w:rsid w:val="5A2A39C7"/>
    <w:rsid w:val="5A455637"/>
    <w:rsid w:val="5A45564A"/>
    <w:rsid w:val="5A601E9A"/>
    <w:rsid w:val="5B1922E3"/>
    <w:rsid w:val="5B897179"/>
    <w:rsid w:val="5BC07095"/>
    <w:rsid w:val="5BD73C32"/>
    <w:rsid w:val="5BF04F02"/>
    <w:rsid w:val="5C1535D3"/>
    <w:rsid w:val="5C2A09B2"/>
    <w:rsid w:val="5C3F26AF"/>
    <w:rsid w:val="5C6C40F0"/>
    <w:rsid w:val="5C871960"/>
    <w:rsid w:val="5CFA01CA"/>
    <w:rsid w:val="5D4664EB"/>
    <w:rsid w:val="5D6F395E"/>
    <w:rsid w:val="5DCD3CEB"/>
    <w:rsid w:val="5E1D63E6"/>
    <w:rsid w:val="5E573A83"/>
    <w:rsid w:val="5E84495C"/>
    <w:rsid w:val="5ECB6FC3"/>
    <w:rsid w:val="5EDE62F6"/>
    <w:rsid w:val="5F4B4F26"/>
    <w:rsid w:val="5FA9689A"/>
    <w:rsid w:val="600D03CE"/>
    <w:rsid w:val="607534A3"/>
    <w:rsid w:val="61386CC4"/>
    <w:rsid w:val="614C3178"/>
    <w:rsid w:val="618E3791"/>
    <w:rsid w:val="61D76EE6"/>
    <w:rsid w:val="62770210"/>
    <w:rsid w:val="630C45C9"/>
    <w:rsid w:val="631A352E"/>
    <w:rsid w:val="63233C5B"/>
    <w:rsid w:val="633800E6"/>
    <w:rsid w:val="638E1826"/>
    <w:rsid w:val="63A52F91"/>
    <w:rsid w:val="63E15DFA"/>
    <w:rsid w:val="63F3085E"/>
    <w:rsid w:val="63F316CA"/>
    <w:rsid w:val="64206C2C"/>
    <w:rsid w:val="64755629"/>
    <w:rsid w:val="64765479"/>
    <w:rsid w:val="64784A60"/>
    <w:rsid w:val="64D345F2"/>
    <w:rsid w:val="654F2FE4"/>
    <w:rsid w:val="66577FF0"/>
    <w:rsid w:val="66705A3E"/>
    <w:rsid w:val="66932437"/>
    <w:rsid w:val="669442AF"/>
    <w:rsid w:val="669A12D4"/>
    <w:rsid w:val="669E6E16"/>
    <w:rsid w:val="67011908"/>
    <w:rsid w:val="670D0AB6"/>
    <w:rsid w:val="673B3A73"/>
    <w:rsid w:val="67411223"/>
    <w:rsid w:val="676905E0"/>
    <w:rsid w:val="679F02B4"/>
    <w:rsid w:val="67B42510"/>
    <w:rsid w:val="67D864FA"/>
    <w:rsid w:val="68243225"/>
    <w:rsid w:val="68271289"/>
    <w:rsid w:val="68714755"/>
    <w:rsid w:val="68A55523"/>
    <w:rsid w:val="68B8492A"/>
    <w:rsid w:val="68CB39A0"/>
    <w:rsid w:val="68E65D34"/>
    <w:rsid w:val="6903771E"/>
    <w:rsid w:val="692B510F"/>
    <w:rsid w:val="69803B38"/>
    <w:rsid w:val="69AA6601"/>
    <w:rsid w:val="6A5111D8"/>
    <w:rsid w:val="6A6B17DE"/>
    <w:rsid w:val="6A7C2D94"/>
    <w:rsid w:val="6B81481F"/>
    <w:rsid w:val="6B861ECF"/>
    <w:rsid w:val="6C554BB3"/>
    <w:rsid w:val="6C861C34"/>
    <w:rsid w:val="6CCD459F"/>
    <w:rsid w:val="6CDD7709"/>
    <w:rsid w:val="6D197128"/>
    <w:rsid w:val="6D1D347E"/>
    <w:rsid w:val="6D691483"/>
    <w:rsid w:val="6D926620"/>
    <w:rsid w:val="6E214EF3"/>
    <w:rsid w:val="6EB80264"/>
    <w:rsid w:val="6F14721D"/>
    <w:rsid w:val="6F1928EC"/>
    <w:rsid w:val="6F1D7F4D"/>
    <w:rsid w:val="6F4573A6"/>
    <w:rsid w:val="6F836CF3"/>
    <w:rsid w:val="6FC96C49"/>
    <w:rsid w:val="6FE80510"/>
    <w:rsid w:val="6FFE16D7"/>
    <w:rsid w:val="701B7ADC"/>
    <w:rsid w:val="70335239"/>
    <w:rsid w:val="7042077C"/>
    <w:rsid w:val="704C7C5C"/>
    <w:rsid w:val="705975C1"/>
    <w:rsid w:val="710B44B6"/>
    <w:rsid w:val="71562671"/>
    <w:rsid w:val="718E7BAB"/>
    <w:rsid w:val="71AA3CCF"/>
    <w:rsid w:val="71C760F9"/>
    <w:rsid w:val="71FC6926"/>
    <w:rsid w:val="723C2348"/>
    <w:rsid w:val="725C54B8"/>
    <w:rsid w:val="730001E4"/>
    <w:rsid w:val="733B7200"/>
    <w:rsid w:val="73663C4C"/>
    <w:rsid w:val="736A46F5"/>
    <w:rsid w:val="73CB43D1"/>
    <w:rsid w:val="73D06AC6"/>
    <w:rsid w:val="73F92CEC"/>
    <w:rsid w:val="74546A39"/>
    <w:rsid w:val="74BF65A3"/>
    <w:rsid w:val="74C6483A"/>
    <w:rsid w:val="751C7C81"/>
    <w:rsid w:val="75550A98"/>
    <w:rsid w:val="75635069"/>
    <w:rsid w:val="76980B0F"/>
    <w:rsid w:val="773E460A"/>
    <w:rsid w:val="77723E17"/>
    <w:rsid w:val="77F02C97"/>
    <w:rsid w:val="78623556"/>
    <w:rsid w:val="78672BD9"/>
    <w:rsid w:val="78C22246"/>
    <w:rsid w:val="78E40EA4"/>
    <w:rsid w:val="79062731"/>
    <w:rsid w:val="793332BF"/>
    <w:rsid w:val="793C0F02"/>
    <w:rsid w:val="79554273"/>
    <w:rsid w:val="79825532"/>
    <w:rsid w:val="799F795E"/>
    <w:rsid w:val="79BA4CCB"/>
    <w:rsid w:val="79E900A0"/>
    <w:rsid w:val="7A2D1870"/>
    <w:rsid w:val="7A7E74FA"/>
    <w:rsid w:val="7AA05C27"/>
    <w:rsid w:val="7AB231BB"/>
    <w:rsid w:val="7B0D7FFB"/>
    <w:rsid w:val="7B194771"/>
    <w:rsid w:val="7B346CFF"/>
    <w:rsid w:val="7B4A536F"/>
    <w:rsid w:val="7B9C5EBD"/>
    <w:rsid w:val="7BDD2EF3"/>
    <w:rsid w:val="7BF15D5A"/>
    <w:rsid w:val="7C3A64F7"/>
    <w:rsid w:val="7C646AF9"/>
    <w:rsid w:val="7CB02A09"/>
    <w:rsid w:val="7CC75552"/>
    <w:rsid w:val="7CE92297"/>
    <w:rsid w:val="7D102A88"/>
    <w:rsid w:val="7D5B0573"/>
    <w:rsid w:val="7D5F4E8A"/>
    <w:rsid w:val="7D6729DA"/>
    <w:rsid w:val="7D7B6E68"/>
    <w:rsid w:val="7DA72476"/>
    <w:rsid w:val="7DC96ECF"/>
    <w:rsid w:val="7E7F5FA7"/>
    <w:rsid w:val="7EBF72AB"/>
    <w:rsid w:val="7F47310E"/>
    <w:rsid w:val="7F717C92"/>
    <w:rsid w:val="7FE83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paragraph" w:styleId="4">
    <w:name w:val="heading 2"/>
    <w:basedOn w:val="1"/>
    <w:next w:val="1"/>
    <w:unhideWhenUsed/>
    <w:qFormat/>
    <w:uiPriority w:val="0"/>
    <w:pPr>
      <w:jc w:val="left"/>
      <w:outlineLvl w:val="1"/>
    </w:pPr>
    <w:rPr>
      <w:rFonts w:hint="eastAsia" w:ascii="微软雅黑" w:hAnsi="微软雅黑" w:eastAsia="微软雅黑" w:cs="Times New Roman"/>
      <w:b/>
      <w:color w:val="262626"/>
      <w:kern w:val="0"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1"/>
    <w:semiHidden/>
    <w:qFormat/>
    <w:uiPriority w:val="99"/>
    <w:pPr>
      <w:widowControl w:val="0"/>
      <w:snapToGrid w:val="0"/>
      <w:jc w:val="left"/>
    </w:pPr>
    <w:rPr>
      <w:rFonts w:ascii="Calibri" w:hAnsi="Calibri" w:eastAsia="宋体" w:cs="Calibri"/>
      <w:kern w:val="2"/>
      <w:sz w:val="18"/>
      <w:szCs w:val="18"/>
      <w:lang w:val="en-US" w:eastAsia="zh-CN" w:bidi="ar-SA"/>
    </w:rPr>
  </w:style>
  <w:style w:type="paragraph" w:styleId="5">
    <w:name w:val="Date"/>
    <w:basedOn w:val="1"/>
    <w:next w:val="1"/>
    <w:link w:val="25"/>
    <w:qFormat/>
    <w:uiPriority w:val="0"/>
    <w:pPr>
      <w:ind w:left="100" w:leftChars="2500"/>
    </w:p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4C4C4C"/>
      <w:u w:val="none"/>
    </w:rPr>
  </w:style>
  <w:style w:type="character" w:styleId="13">
    <w:name w:val="Emphasis"/>
    <w:basedOn w:val="10"/>
    <w:qFormat/>
    <w:uiPriority w:val="0"/>
  </w:style>
  <w:style w:type="character" w:styleId="14">
    <w:name w:val="HTML Definition"/>
    <w:basedOn w:val="10"/>
    <w:qFormat/>
    <w:uiPriority w:val="0"/>
  </w:style>
  <w:style w:type="character" w:styleId="15">
    <w:name w:val="HTML Acronym"/>
    <w:basedOn w:val="10"/>
    <w:qFormat/>
    <w:uiPriority w:val="0"/>
  </w:style>
  <w:style w:type="character" w:styleId="16">
    <w:name w:val="HTML Variable"/>
    <w:basedOn w:val="10"/>
    <w:qFormat/>
    <w:uiPriority w:val="0"/>
  </w:style>
  <w:style w:type="character" w:styleId="17">
    <w:name w:val="Hyperlink"/>
    <w:basedOn w:val="10"/>
    <w:qFormat/>
    <w:uiPriority w:val="0"/>
    <w:rPr>
      <w:color w:val="4C4C4C"/>
      <w:u w:val="none"/>
    </w:rPr>
  </w:style>
  <w:style w:type="character" w:styleId="18">
    <w:name w:val="HTML Code"/>
    <w:basedOn w:val="10"/>
    <w:qFormat/>
    <w:uiPriority w:val="0"/>
    <w:rPr>
      <w:rFonts w:hint="eastAsia" w:ascii="微软雅黑" w:hAnsi="微软雅黑" w:eastAsia="微软雅黑" w:cs="微软雅黑"/>
      <w:color w:val="262626"/>
      <w:sz w:val="21"/>
      <w:szCs w:val="21"/>
    </w:rPr>
  </w:style>
  <w:style w:type="character" w:styleId="19">
    <w:name w:val="HTML Cite"/>
    <w:basedOn w:val="10"/>
    <w:qFormat/>
    <w:uiPriority w:val="0"/>
  </w:style>
  <w:style w:type="character" w:customStyle="1" w:styleId="20">
    <w:name w:val="span-bg"/>
    <w:basedOn w:val="10"/>
    <w:qFormat/>
    <w:uiPriority w:val="0"/>
  </w:style>
  <w:style w:type="character" w:customStyle="1" w:styleId="21">
    <w:name w:val="span-hover"/>
    <w:basedOn w:val="10"/>
    <w:qFormat/>
    <w:uiPriority w:val="0"/>
  </w:style>
  <w:style w:type="character" w:customStyle="1" w:styleId="22">
    <w:name w:val="span-bg12"/>
    <w:basedOn w:val="10"/>
    <w:qFormat/>
    <w:uiPriority w:val="0"/>
  </w:style>
  <w:style w:type="character" w:customStyle="1" w:styleId="23">
    <w:name w:val="span-hover8"/>
    <w:basedOn w:val="10"/>
    <w:qFormat/>
    <w:uiPriority w:val="0"/>
  </w:style>
  <w:style w:type="character" w:customStyle="1" w:styleId="24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日期 Char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Www.51Gho.Net</Company>
  <Pages>15</Pages>
  <Words>7291</Words>
  <Characters>8136</Characters>
  <Lines>25</Lines>
  <Paragraphs>7</Paragraphs>
  <TotalTime>131</TotalTime>
  <ScaleCrop>false</ScaleCrop>
  <LinksUpToDate>false</LinksUpToDate>
  <CharactersWithSpaces>8139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2017-10-19T06:03:00Z</dcterms:created>
  <dc:creator>bgs-4</dc:creator>
  <cp:lastModifiedBy>唐俏</cp:lastModifiedBy>
  <cp:lastPrinted>2022-12-17T09:15:00Z</cp:lastPrinted>
  <dcterms:modified xsi:type="dcterms:W3CDTF">2023-12-15T07:33:09Z</dcterms:modified>
  <dc:title>长沙市望城区2017年财政预算预计执行情况与2018年财政预算草案的报告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176437EDDE9349E2995524A28A93B570</vt:lpwstr>
  </property>
</Properties>
</file>