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beforeAutospacing="0" w:afterAutospacing="0" w:line="600" w:lineRule="exact"/>
        <w:jc w:val="left"/>
        <w:textAlignment w:val="auto"/>
        <w:rPr>
          <w:rFonts w:ascii="Calibri" w:hAnsi="Calibri" w:eastAsia="黑体"/>
          <w:color w:val="auto"/>
          <w:kern w:val="0"/>
          <w:sz w:val="32"/>
          <w:szCs w:val="32"/>
        </w:rPr>
      </w:pPr>
      <w:r>
        <w:rPr>
          <w:rFonts w:hint="eastAsia" w:ascii="黑体" w:hAnsi="黑体" w:eastAsia="黑体"/>
          <w:color w:val="auto"/>
          <w:kern w:val="0"/>
          <w:sz w:val="32"/>
          <w:szCs w:val="32"/>
        </w:rPr>
        <w:t>附件</w:t>
      </w:r>
      <w:r>
        <w:rPr>
          <w:rFonts w:hint="eastAsia" w:ascii="黑体" w:hAnsi="黑体" w:eastAsia="黑体"/>
          <w:color w:val="auto"/>
          <w:kern w:val="0"/>
          <w:sz w:val="32"/>
          <w:szCs w:val="32"/>
          <w:lang w:val="en-US" w:eastAsia="zh-CN"/>
        </w:rPr>
        <w:t>1</w:t>
      </w:r>
    </w:p>
    <w:p>
      <w:pPr>
        <w:keepNext w:val="0"/>
        <w:keepLines w:val="0"/>
        <w:pageBreakBefore w:val="0"/>
        <w:kinsoku/>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长沙市</w:t>
      </w:r>
      <w:r>
        <w:rPr>
          <w:rFonts w:hint="eastAsia" w:ascii="方正小标宋简体" w:hAnsi="方正小标宋简体" w:eastAsia="方正小标宋简体" w:cs="方正小标宋简体"/>
          <w:bCs/>
          <w:color w:val="auto"/>
          <w:kern w:val="0"/>
          <w:sz w:val="44"/>
          <w:szCs w:val="44"/>
          <w:lang w:eastAsia="zh-CN"/>
        </w:rPr>
        <w:t>望城区202</w:t>
      </w:r>
      <w:r>
        <w:rPr>
          <w:rFonts w:hint="eastAsia" w:ascii="方正小标宋简体" w:hAnsi="方正小标宋简体" w:eastAsia="方正小标宋简体" w:cs="方正小标宋简体"/>
          <w:bCs/>
          <w:color w:val="auto"/>
          <w:kern w:val="0"/>
          <w:sz w:val="44"/>
          <w:szCs w:val="44"/>
          <w:lang w:val="en-US" w:eastAsia="zh-CN"/>
        </w:rPr>
        <w:t>4</w:t>
      </w:r>
      <w:r>
        <w:rPr>
          <w:rFonts w:hint="eastAsia" w:ascii="方正小标宋简体" w:hAnsi="方正小标宋简体" w:eastAsia="方正小标宋简体" w:cs="方正小标宋简体"/>
          <w:bCs/>
          <w:color w:val="auto"/>
          <w:kern w:val="0"/>
          <w:sz w:val="44"/>
          <w:szCs w:val="44"/>
        </w:rPr>
        <w:t>年</w:t>
      </w:r>
      <w:r>
        <w:rPr>
          <w:rFonts w:hint="eastAsia" w:ascii="方正小标宋简体" w:hAnsi="方正小标宋简体" w:eastAsia="方正小标宋简体" w:cs="方正小标宋简体"/>
          <w:bCs/>
          <w:color w:val="auto"/>
          <w:kern w:val="0"/>
          <w:sz w:val="44"/>
          <w:szCs w:val="44"/>
          <w:lang w:eastAsia="zh-CN"/>
        </w:rPr>
        <w:t>下半年</w:t>
      </w:r>
      <w:r>
        <w:rPr>
          <w:rFonts w:hint="eastAsia" w:ascii="方正小标宋简体" w:hAnsi="方正小标宋简体" w:eastAsia="方正小标宋简体" w:cs="方正小标宋简体"/>
          <w:bCs/>
          <w:color w:val="auto"/>
          <w:kern w:val="0"/>
          <w:sz w:val="44"/>
          <w:szCs w:val="44"/>
        </w:rPr>
        <w:t>教师资格</w:t>
      </w:r>
    </w:p>
    <w:p>
      <w:pPr>
        <w:keepNext w:val="0"/>
        <w:keepLines w:val="0"/>
        <w:pageBreakBefore w:val="0"/>
        <w:kinsoku/>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认定申请材料清单</w:t>
      </w:r>
    </w:p>
    <w:tbl>
      <w:tblPr>
        <w:tblStyle w:val="3"/>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材料详细</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textAlignment w:val="auto"/>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hint="eastAsia" w:ascii="仿宋_GB2312" w:eastAsia="仿宋_GB2312"/>
                <w:color w:val="auto"/>
                <w:sz w:val="24"/>
                <w:szCs w:val="24"/>
              </w:rPr>
              <w:t>其中申请语文教师资格和对外汉语教学教师资格的普通话应当达到二级甲等以上水平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textAlignment w:val="auto"/>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指定医院出具的体检报告，且结论明确。2.体检须在</w:t>
            </w:r>
            <w:r>
              <w:rPr>
                <w:rFonts w:hint="eastAsia" w:ascii="仿宋_GB2312" w:eastAsia="仿宋_GB2312"/>
                <w:color w:val="auto"/>
                <w:sz w:val="24"/>
                <w:szCs w:val="24"/>
                <w:lang w:val="en-US" w:eastAsia="zh-CN"/>
              </w:rPr>
              <w:t>规定时间内</w:t>
            </w:r>
            <w:r>
              <w:rPr>
                <w:rFonts w:hint="eastAsia" w:ascii="仿宋_GB2312" w:eastAsia="仿宋_GB2312"/>
                <w:color w:val="auto"/>
                <w:sz w:val="24"/>
                <w:szCs w:val="24"/>
              </w:rPr>
              <w:t>完成。</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3.体检不通过，不能参加认定。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hint="eastAsia" w:ascii="仿宋_GB2312" w:eastAsia="仿宋_GB2312"/>
                <w:color w:val="auto"/>
                <w:sz w:val="24"/>
                <w:szCs w:val="24"/>
                <w:lang w:eastAsia="zh-CN"/>
              </w:rPr>
              <w:t>白底证件照</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hint="eastAsia" w:ascii="仿宋_GB2312" w:eastAsia="仿宋_GB2312"/>
                <w:color w:val="auto"/>
                <w:sz w:val="24"/>
                <w:szCs w:val="24"/>
                <w:lang w:eastAsia="zh-CN"/>
              </w:rPr>
              <w:t>），</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keepNext w:val="0"/>
        <w:keepLines w:val="0"/>
        <w:pageBreakBefore w:val="0"/>
        <w:kinsoku/>
        <w:overflowPunct/>
        <w:topLinePunct w:val="0"/>
        <w:autoSpaceDE/>
        <w:autoSpaceDN/>
        <w:bidi w:val="0"/>
        <w:adjustRightInd/>
        <w:snapToGrid/>
        <w:spacing w:beforeAutospacing="0" w:afterAutospacing="0" w:line="600" w:lineRule="exact"/>
        <w:textAlignment w:val="auto"/>
        <w:rPr>
          <w:rFonts w:ascii="Times New Roman" w:hAnsi="Times New Roman" w:eastAsia="仿宋_GB2312" w:cs="Times New Roman"/>
          <w:color w:val="auto"/>
          <w:sz w:val="32"/>
          <w:szCs w:val="32"/>
        </w:rPr>
      </w:pPr>
      <w:r>
        <w:rPr>
          <w:rFonts w:hint="eastAsia" w:ascii="仿宋_GB2312" w:eastAsia="仿宋_GB2312"/>
          <w:color w:val="auto"/>
          <w:sz w:val="28"/>
          <w:szCs w:val="28"/>
        </w:rPr>
        <w:t>提示：申请人在网上办理，无需提交纸质材料。</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505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2024-09-25T08:59:58Z</dcterms:created>
  <dc:creator>Administrator</dc:creator>
  <cp:lastModifiedBy>Administrator</cp:lastModifiedBy>
  <dcterms:modified xsi:type="dcterms:W3CDTF">2024-09-25T09:00:14Z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