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7B8028">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p>
    <w:p w14:paraId="69B121C2">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p>
    <w:p w14:paraId="21A84F5D">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p>
    <w:p w14:paraId="6BDD246D">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望应急发〔2025〕  号</w:t>
      </w:r>
    </w:p>
    <w:p w14:paraId="5E631626">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0" w:firstLineChars="0"/>
        <w:jc w:val="center"/>
        <w:textAlignment w:val="auto"/>
        <w:rPr>
          <w:rFonts w:ascii="Arial"/>
          <w:spacing w:val="0"/>
          <w:position w:val="0"/>
          <w:sz w:val="21"/>
        </w:rPr>
      </w:pPr>
    </w:p>
    <w:p w14:paraId="0769DC8F">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right="0" w:firstLine="0" w:firstLineChars="0"/>
        <w:jc w:val="center"/>
        <w:rPr>
          <w:rFonts w:hint="eastAsia" w:ascii="方正小标宋简体" w:hAnsi="方正小标宋简体" w:eastAsia="方正小标宋简体" w:cs="方正小标宋简体"/>
          <w:spacing w:val="0"/>
          <w:position w:val="0"/>
          <w:sz w:val="44"/>
          <w:szCs w:val="44"/>
        </w:rPr>
      </w:pPr>
      <w:r>
        <w:rPr>
          <w:rFonts w:hint="eastAsia" w:ascii="方正小标宋简体" w:hAnsi="方正小标宋简体" w:eastAsia="方正小标宋简体" w:cs="方正小标宋简体"/>
          <w:spacing w:val="0"/>
          <w:position w:val="0"/>
          <w:sz w:val="44"/>
          <w:szCs w:val="44"/>
        </w:rPr>
        <w:t>长沙市</w:t>
      </w:r>
      <w:r>
        <w:rPr>
          <w:rFonts w:hint="eastAsia" w:ascii="方正小标宋简体" w:hAnsi="方正小标宋简体" w:eastAsia="方正小标宋简体" w:cs="方正小标宋简体"/>
          <w:spacing w:val="0"/>
          <w:position w:val="0"/>
          <w:sz w:val="44"/>
          <w:szCs w:val="44"/>
          <w:lang w:eastAsia="zh-CN"/>
        </w:rPr>
        <w:t>望城区</w:t>
      </w:r>
      <w:r>
        <w:rPr>
          <w:rFonts w:hint="eastAsia" w:ascii="方正小标宋简体" w:hAnsi="方正小标宋简体" w:eastAsia="方正小标宋简体" w:cs="方正小标宋简体"/>
          <w:spacing w:val="0"/>
          <w:position w:val="0"/>
          <w:sz w:val="44"/>
          <w:szCs w:val="44"/>
        </w:rPr>
        <w:t>应急管理局</w:t>
      </w:r>
    </w:p>
    <w:p w14:paraId="66261B1B">
      <w:pPr>
        <w:keepNext w:val="0"/>
        <w:keepLines w:val="0"/>
        <w:pageBreakBefore w:val="0"/>
        <w:widowControl w:val="0"/>
        <w:kinsoku/>
        <w:wordWrap/>
        <w:overflowPunct/>
        <w:topLinePunct w:val="0"/>
        <w:autoSpaceDE/>
        <w:autoSpaceDN/>
        <w:bidi w:val="0"/>
        <w:adjustRightInd w:val="0"/>
        <w:snapToGrid w:val="0"/>
        <w:spacing w:line="700" w:lineRule="exact"/>
        <w:jc w:val="center"/>
        <w:textAlignment w:val="auto"/>
        <w:rPr>
          <w:rFonts w:hint="eastAsia" w:ascii="方正小标宋简体" w:hAnsi="方正小标宋简体" w:eastAsia="方正小标宋简体" w:cs="方正小标宋简体"/>
          <w:color w:val="000000"/>
          <w:sz w:val="44"/>
          <w:szCs w:val="44"/>
          <w:lang w:eastAsia="zh-CN"/>
        </w:rPr>
      </w:pPr>
      <w:r>
        <w:rPr>
          <w:rFonts w:hint="eastAsia" w:ascii="方正小标宋简体" w:hAnsi="方正小标宋简体" w:eastAsia="方正小标宋简体" w:cs="方正小标宋简体"/>
          <w:color w:val="000000"/>
          <w:spacing w:val="-11"/>
          <w:sz w:val="44"/>
          <w:szCs w:val="44"/>
          <w:lang w:eastAsia="zh-CN"/>
        </w:rPr>
        <w:t>关于印发《</w:t>
      </w:r>
      <w:r>
        <w:rPr>
          <w:rFonts w:hint="eastAsia" w:ascii="方正小标宋简体" w:hAnsi="方正小标宋简体" w:eastAsia="方正小标宋简体" w:cs="方正小标宋简体"/>
          <w:color w:val="000000"/>
          <w:spacing w:val="-11"/>
          <w:sz w:val="44"/>
          <w:szCs w:val="44"/>
          <w:lang w:val="en-US" w:eastAsia="zh-CN"/>
        </w:rPr>
        <w:t>2025年度安全生产监督检查计划</w:t>
      </w:r>
      <w:r>
        <w:rPr>
          <w:rFonts w:hint="eastAsia" w:ascii="方正小标宋简体" w:hAnsi="方正小标宋简体" w:eastAsia="方正小标宋简体" w:cs="方正小标宋简体"/>
          <w:color w:val="000000"/>
          <w:spacing w:val="-11"/>
          <w:sz w:val="44"/>
          <w:szCs w:val="44"/>
          <w:lang w:eastAsia="zh-CN"/>
        </w:rPr>
        <w:t>》的</w:t>
      </w:r>
      <w:r>
        <w:rPr>
          <w:rFonts w:hint="eastAsia" w:ascii="方正小标宋简体" w:hAnsi="方正小标宋简体" w:eastAsia="方正小标宋简体" w:cs="方正小标宋简体"/>
          <w:color w:val="000000"/>
          <w:sz w:val="44"/>
          <w:szCs w:val="44"/>
          <w:lang w:eastAsia="zh-CN"/>
        </w:rPr>
        <w:t>通</w:t>
      </w:r>
      <w:r>
        <w:rPr>
          <w:rFonts w:hint="eastAsia" w:ascii="方正小标宋简体" w:hAnsi="方正小标宋简体" w:eastAsia="方正小标宋简体" w:cs="方正小标宋简体"/>
          <w:color w:val="000000"/>
          <w:sz w:val="44"/>
          <w:szCs w:val="44"/>
          <w:lang w:val="en-US" w:eastAsia="zh-CN"/>
        </w:rPr>
        <w:t xml:space="preserve">  </w:t>
      </w:r>
      <w:r>
        <w:rPr>
          <w:rFonts w:hint="eastAsia" w:ascii="方正小标宋简体" w:hAnsi="方正小标宋简体" w:eastAsia="方正小标宋简体" w:cs="方正小标宋简体"/>
          <w:color w:val="000000"/>
          <w:sz w:val="44"/>
          <w:szCs w:val="44"/>
          <w:lang w:eastAsia="zh-CN"/>
        </w:rPr>
        <w:t>知</w:t>
      </w:r>
    </w:p>
    <w:p w14:paraId="33A281E2">
      <w:pPr>
        <w:pStyle w:val="2"/>
        <w:rPr>
          <w:rFonts w:hint="eastAsia"/>
          <w:lang w:eastAsia="zh-CN"/>
        </w:rPr>
      </w:pPr>
    </w:p>
    <w:p w14:paraId="529C8E4D">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eastAsia="zh-CN"/>
        </w:rPr>
        <w:t>各街镇平安法治和应急管理办公室、经开区安全生产监管局、局机关各科室（队）：</w:t>
      </w:r>
      <w:r>
        <w:rPr>
          <w:rFonts w:hint="eastAsia" w:ascii="仿宋_GB2312" w:hAnsi="仿宋_GB2312" w:eastAsia="仿宋_GB2312" w:cs="仿宋_GB2312"/>
          <w:color w:val="000000"/>
          <w:sz w:val="32"/>
          <w:szCs w:val="32"/>
          <w:lang w:val="en-US" w:eastAsia="zh-CN"/>
        </w:rPr>
        <w:t xml:space="preserve">  </w:t>
      </w:r>
    </w:p>
    <w:p w14:paraId="3CC02311">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《长沙市望城区应急管理局2025年度安全生产监督检查计划》已经区人民政府批准同意，现印发给你们，请遵照执行。</w:t>
      </w:r>
    </w:p>
    <w:p w14:paraId="1F33F63E">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eastAsia" w:ascii="仿宋_GB2312" w:hAnsi="仿宋_GB2312" w:eastAsia="仿宋_GB2312" w:cs="仿宋_GB2312"/>
          <w:color w:val="000000"/>
          <w:sz w:val="32"/>
          <w:szCs w:val="32"/>
          <w:lang w:val="en-US" w:eastAsia="zh-CN"/>
        </w:rPr>
      </w:pPr>
    </w:p>
    <w:p w14:paraId="08B4022B">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eastAsia" w:ascii="仿宋_GB2312" w:hAnsi="仿宋_GB2312" w:eastAsia="仿宋_GB2312" w:cs="仿宋_GB2312"/>
          <w:color w:val="000000"/>
          <w:sz w:val="32"/>
          <w:szCs w:val="32"/>
          <w:lang w:val="en-US" w:eastAsia="zh-CN"/>
        </w:rPr>
      </w:pPr>
    </w:p>
    <w:p w14:paraId="27B72E78">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0"/>
        <w:jc w:val="center"/>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 xml:space="preserve">                     长沙市望城区应急管理局</w:t>
      </w:r>
    </w:p>
    <w:p w14:paraId="32E46EA7">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0"/>
        <w:jc w:val="center"/>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 xml:space="preserve">                     2025年2月28日</w:t>
      </w:r>
    </w:p>
    <w:p w14:paraId="0E9F6414">
      <w:pPr>
        <w:keepNext w:val="0"/>
        <w:keepLines w:val="0"/>
        <w:pageBreakBefore w:val="0"/>
        <w:wordWrap/>
        <w:overflowPunct/>
        <w:bidi w:val="0"/>
        <w:adjustRightInd w:val="0"/>
        <w:snapToGrid w:val="0"/>
        <w:spacing w:line="600" w:lineRule="exact"/>
        <w:ind w:right="0"/>
        <w:jc w:val="center"/>
        <w:rPr>
          <w:rFonts w:hint="eastAsia" w:eastAsia="方正小标宋简体"/>
          <w:sz w:val="44"/>
          <w:szCs w:val="44"/>
          <w:lang w:val="en-US" w:eastAsia="zh-CN"/>
        </w:rPr>
      </w:pPr>
    </w:p>
    <w:p w14:paraId="0A07D80E">
      <w:pPr>
        <w:keepNext w:val="0"/>
        <w:keepLines w:val="0"/>
        <w:pageBreakBefore w:val="0"/>
        <w:wordWrap/>
        <w:overflowPunct/>
        <w:bidi w:val="0"/>
        <w:adjustRightInd w:val="0"/>
        <w:snapToGrid w:val="0"/>
        <w:spacing w:line="600" w:lineRule="exact"/>
        <w:ind w:right="0"/>
        <w:jc w:val="center"/>
        <w:rPr>
          <w:rFonts w:hint="eastAsia" w:eastAsia="方正小标宋简体"/>
          <w:sz w:val="44"/>
          <w:szCs w:val="44"/>
          <w:lang w:val="en-US" w:eastAsia="zh-CN"/>
        </w:rPr>
      </w:pPr>
    </w:p>
    <w:p w14:paraId="06BE2FE9">
      <w:pPr>
        <w:pStyle w:val="2"/>
        <w:ind w:left="0" w:leftChars="0" w:firstLine="0" w:firstLineChars="0"/>
        <w:rPr>
          <w:rFonts w:hint="eastAsia" w:eastAsia="方正小标宋简体"/>
          <w:sz w:val="44"/>
          <w:szCs w:val="44"/>
          <w:lang w:val="en-US" w:eastAsia="zh-CN"/>
        </w:rPr>
      </w:pPr>
    </w:p>
    <w:p w14:paraId="2056AFA6">
      <w:pPr>
        <w:keepNext w:val="0"/>
        <w:keepLines w:val="0"/>
        <w:pageBreakBefore w:val="0"/>
        <w:wordWrap/>
        <w:overflowPunct/>
        <w:bidi w:val="0"/>
        <w:adjustRightInd w:val="0"/>
        <w:snapToGrid w:val="0"/>
        <w:spacing w:line="600" w:lineRule="exact"/>
        <w:ind w:right="0"/>
        <w:jc w:val="center"/>
        <w:rPr>
          <w:rFonts w:hint="eastAsia" w:eastAsia="方正小标宋简体"/>
          <w:sz w:val="44"/>
          <w:szCs w:val="44"/>
          <w:lang w:eastAsia="zh-CN"/>
        </w:rPr>
      </w:pPr>
      <w:r>
        <w:rPr>
          <w:rFonts w:hint="eastAsia" w:eastAsia="方正小标宋简体"/>
          <w:sz w:val="44"/>
          <w:szCs w:val="44"/>
          <w:lang w:val="en-US" w:eastAsia="zh-CN"/>
        </w:rPr>
        <w:t>长沙市望城区</w:t>
      </w:r>
      <w:r>
        <w:rPr>
          <w:rFonts w:eastAsia="方正小标宋简体"/>
          <w:sz w:val="44"/>
          <w:szCs w:val="44"/>
        </w:rPr>
        <w:t>应急管理</w:t>
      </w:r>
      <w:r>
        <w:rPr>
          <w:rFonts w:hint="eastAsia" w:eastAsia="方正小标宋简体"/>
          <w:sz w:val="44"/>
          <w:szCs w:val="44"/>
          <w:lang w:eastAsia="zh-CN"/>
        </w:rPr>
        <w:t>局</w:t>
      </w:r>
    </w:p>
    <w:p w14:paraId="357CA8C0">
      <w:pPr>
        <w:keepNext w:val="0"/>
        <w:keepLines w:val="0"/>
        <w:pageBreakBefore w:val="0"/>
        <w:wordWrap/>
        <w:overflowPunct/>
        <w:bidi w:val="0"/>
        <w:adjustRightInd w:val="0"/>
        <w:snapToGrid w:val="0"/>
        <w:spacing w:line="600" w:lineRule="exact"/>
        <w:ind w:right="0"/>
        <w:jc w:val="center"/>
        <w:rPr>
          <w:rFonts w:eastAsia="方正小标宋简体"/>
          <w:sz w:val="44"/>
          <w:szCs w:val="44"/>
        </w:rPr>
      </w:pPr>
      <w:r>
        <w:rPr>
          <w:rFonts w:eastAsia="方正小标宋简体"/>
          <w:sz w:val="44"/>
          <w:szCs w:val="44"/>
        </w:rPr>
        <w:t>202</w:t>
      </w:r>
      <w:r>
        <w:rPr>
          <w:rFonts w:hint="eastAsia" w:eastAsia="方正小标宋简体"/>
          <w:sz w:val="44"/>
          <w:szCs w:val="44"/>
          <w:lang w:val="en-US" w:eastAsia="zh-CN"/>
        </w:rPr>
        <w:t>5</w:t>
      </w:r>
      <w:r>
        <w:rPr>
          <w:rFonts w:eastAsia="方正小标宋简体"/>
          <w:sz w:val="44"/>
          <w:szCs w:val="44"/>
        </w:rPr>
        <w:t>年度安全生产监督检查计划</w:t>
      </w:r>
    </w:p>
    <w:p w14:paraId="689475CF">
      <w:pPr>
        <w:keepNext w:val="0"/>
        <w:keepLines w:val="0"/>
        <w:pageBreakBefore w:val="0"/>
        <w:wordWrap/>
        <w:overflowPunct/>
        <w:bidi w:val="0"/>
        <w:adjustRightInd w:val="0"/>
        <w:snapToGrid w:val="0"/>
        <w:spacing w:line="600" w:lineRule="exact"/>
        <w:ind w:right="0" w:firstLine="640" w:firstLineChars="200"/>
        <w:rPr>
          <w:rFonts w:hint="eastAsia" w:eastAsia="仿宋_GB2312"/>
          <w:sz w:val="32"/>
          <w:szCs w:val="32"/>
          <w:lang w:val="zh-CN" w:eastAsia="zh-CN"/>
        </w:rPr>
      </w:pPr>
    </w:p>
    <w:p w14:paraId="15282E1E">
      <w:pPr>
        <w:keepNext w:val="0"/>
        <w:keepLines w:val="0"/>
        <w:pageBreakBefore w:val="0"/>
        <w:wordWrap/>
        <w:overflowPunct/>
        <w:bidi w:val="0"/>
        <w:adjustRightInd w:val="0"/>
        <w:snapToGrid w:val="0"/>
        <w:spacing w:line="600" w:lineRule="exact"/>
        <w:ind w:right="0" w:firstLine="640" w:firstLineChars="200"/>
        <w:rPr>
          <w:rFonts w:eastAsia="仿宋_GB2312"/>
          <w:sz w:val="32"/>
          <w:szCs w:val="32"/>
          <w:lang w:val="zh-CN"/>
        </w:rPr>
      </w:pPr>
      <w:r>
        <w:rPr>
          <w:rFonts w:hint="default" w:ascii="Times New Roman" w:hAnsi="Times New Roman" w:eastAsia="仿宋_GB2312" w:cs="Times New Roman"/>
          <w:color w:val="000000" w:themeColor="text1"/>
          <w:sz w:val="32"/>
          <w:szCs w:val="32"/>
          <w:lang w:val="zh-CN"/>
          <w14:textFill>
            <w14:solidFill>
              <w14:schemeClr w14:val="tx1"/>
            </w14:solidFill>
          </w14:textFill>
        </w:rPr>
        <w:t>根据《中华人民共和国安全生产法》《湖南省安全生产条例》</w:t>
      </w:r>
      <w:r>
        <w:rPr>
          <w:rFonts w:hint="eastAsia" w:ascii="Times New Roman" w:hAnsi="Times New Roman" w:eastAsia="仿宋_GB2312" w:cs="Times New Roman"/>
          <w:color w:val="000000" w:themeColor="text1"/>
          <w:sz w:val="32"/>
          <w:szCs w:val="32"/>
          <w:lang w:val="zh-CN"/>
          <w14:textFill>
            <w14:solidFill>
              <w14:schemeClr w14:val="tx1"/>
            </w14:solidFill>
          </w14:textFill>
        </w:rPr>
        <w:t>《国务院办公厅关于严格规范涉企行政检查的意见》（国办发〔202</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4</w:t>
      </w:r>
      <w:r>
        <w:rPr>
          <w:rFonts w:hint="eastAsia" w:ascii="Times New Roman" w:hAnsi="Times New Roman" w:eastAsia="仿宋_GB2312" w:cs="Times New Roman"/>
          <w:color w:val="000000" w:themeColor="text1"/>
          <w:sz w:val="32"/>
          <w:szCs w:val="32"/>
          <w:lang w:val="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54</w:t>
      </w:r>
      <w:r>
        <w:rPr>
          <w:rFonts w:hint="eastAsia" w:ascii="Times New Roman" w:hAnsi="Times New Roman" w:eastAsia="仿宋_GB2312" w:cs="Times New Roman"/>
          <w:color w:val="000000" w:themeColor="text1"/>
          <w:sz w:val="32"/>
          <w:szCs w:val="32"/>
          <w:lang w:val="zh-CN"/>
          <w14:textFill>
            <w14:solidFill>
              <w14:schemeClr w14:val="tx1"/>
            </w14:solidFill>
          </w14:textFill>
        </w:rPr>
        <w:t>号）</w:t>
      </w:r>
      <w:r>
        <w:rPr>
          <w:rFonts w:hint="default" w:ascii="Times New Roman" w:hAnsi="Times New Roman" w:eastAsia="仿宋_GB2312" w:cs="Times New Roman"/>
          <w:color w:val="000000" w:themeColor="text1"/>
          <w:sz w:val="32"/>
          <w:szCs w:val="32"/>
          <w:lang w:val="zh-CN"/>
          <w14:textFill>
            <w14:solidFill>
              <w14:schemeClr w14:val="tx1"/>
            </w14:solidFill>
          </w14:textFill>
        </w:rPr>
        <w:t>、</w:t>
      </w:r>
      <w:r>
        <w:rPr>
          <w:rFonts w:hint="eastAsia" w:ascii="仿宋_GB2312" w:hAnsi="仿宋_GB2312" w:eastAsia="仿宋_GB2312" w:cs="仿宋_GB2312"/>
          <w:sz w:val="32"/>
          <w:szCs w:val="32"/>
          <w:shd w:val="clear" w:color="auto" w:fill="FFFFFF"/>
          <w:lang w:val="zh-CN"/>
        </w:rPr>
        <w:t>《</w:t>
      </w:r>
      <w:r>
        <w:rPr>
          <w:rFonts w:hint="eastAsia" w:ascii="仿宋_GB2312" w:hAnsi="仿宋_GB2312" w:eastAsia="仿宋_GB2312" w:cs="仿宋_GB2312"/>
          <w:sz w:val="32"/>
          <w:szCs w:val="32"/>
          <w:shd w:val="clear" w:color="auto" w:fill="FFFFFF"/>
        </w:rPr>
        <w:t>应急管理部关于加强安全生产执法工作的意见</w:t>
      </w:r>
      <w:r>
        <w:rPr>
          <w:rFonts w:hint="eastAsia" w:ascii="仿宋_GB2312" w:hAnsi="仿宋_GB2312" w:eastAsia="仿宋_GB2312" w:cs="仿宋_GB2312"/>
          <w:sz w:val="32"/>
          <w:szCs w:val="32"/>
          <w:shd w:val="clear" w:color="auto" w:fill="FFFFFF"/>
          <w:lang w:val="zh-CN"/>
        </w:rPr>
        <w:t>》</w:t>
      </w:r>
      <w:r>
        <w:rPr>
          <w:rFonts w:hint="eastAsia" w:ascii="仿宋_GB2312" w:hAnsi="仿宋_GB2312" w:eastAsia="仿宋_GB2312" w:cs="仿宋_GB2312"/>
          <w:sz w:val="32"/>
          <w:szCs w:val="32"/>
          <w:shd w:val="clear" w:color="auto" w:fill="FFFFFF"/>
        </w:rPr>
        <w:t>（应急〔2021〕23号）</w:t>
      </w:r>
      <w:r>
        <w:rPr>
          <w:rFonts w:hint="eastAsia" w:ascii="仿宋_GB2312" w:hAnsi="仿宋_GB2312" w:eastAsia="仿宋_GB2312" w:cs="仿宋_GB2312"/>
          <w:sz w:val="32"/>
          <w:szCs w:val="32"/>
          <w:shd w:val="clear" w:color="auto" w:fill="FFFFFF"/>
          <w:lang w:eastAsia="zh-CN"/>
        </w:rPr>
        <w:t>、</w:t>
      </w:r>
      <w:r>
        <w:rPr>
          <w:rFonts w:hint="default" w:ascii="Times New Roman" w:hAnsi="Times New Roman" w:eastAsia="仿宋_GB2312" w:cs="Times New Roman"/>
          <w:color w:val="000000" w:themeColor="text1"/>
          <w:sz w:val="32"/>
          <w:szCs w:val="32"/>
          <w:lang w:val="zh-CN"/>
          <w14:textFill>
            <w14:solidFill>
              <w14:schemeClr w14:val="tx1"/>
            </w14:solidFill>
          </w14:textFill>
        </w:rPr>
        <w:t>《湖南省应急管理</w:t>
      </w:r>
      <w:r>
        <w:rPr>
          <w:rFonts w:hint="eastAsia" w:eastAsia="仿宋_GB2312" w:cs="Times New Roman"/>
          <w:color w:val="000000" w:themeColor="text1"/>
          <w:sz w:val="32"/>
          <w:szCs w:val="32"/>
          <w:lang w:val="zh-CN"/>
          <w14:textFill>
            <w14:solidFill>
              <w14:schemeClr w14:val="tx1"/>
            </w14:solidFill>
          </w14:textFill>
        </w:rPr>
        <w:t>厅</w:t>
      </w:r>
      <w:r>
        <w:rPr>
          <w:rFonts w:hint="default" w:ascii="Times New Roman" w:hAnsi="Times New Roman" w:eastAsia="仿宋_GB2312" w:cs="Times New Roman"/>
          <w:color w:val="000000" w:themeColor="text1"/>
          <w:sz w:val="32"/>
          <w:szCs w:val="32"/>
          <w:lang w:val="zh-CN"/>
          <w14:textFill>
            <w14:solidFill>
              <w14:schemeClr w14:val="tx1"/>
            </w14:solidFill>
          </w14:textFill>
        </w:rPr>
        <w:t>关于印发&lt;湖南省应急管理综合行政执法工作规定&gt;的通知》（湘应急发〔20</w:t>
      </w:r>
      <w:r>
        <w:rPr>
          <w:rFonts w:hint="default" w:ascii="Times New Roman" w:hAnsi="Times New Roman" w:eastAsia="仿宋_GB2312" w:cs="Times New Roman"/>
          <w:color w:val="000000" w:themeColor="text1"/>
          <w:sz w:val="32"/>
          <w:szCs w:val="32"/>
          <w14:textFill>
            <w14:solidFill>
              <w14:schemeClr w14:val="tx1"/>
            </w14:solidFill>
          </w14:textFill>
        </w:rPr>
        <w:t>22</w:t>
      </w:r>
      <w:r>
        <w:rPr>
          <w:rFonts w:hint="default" w:ascii="Times New Roman" w:hAnsi="Times New Roman" w:eastAsia="仿宋_GB2312" w:cs="Times New Roman"/>
          <w:color w:val="000000" w:themeColor="text1"/>
          <w:sz w:val="32"/>
          <w:szCs w:val="32"/>
          <w:lang w:val="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12</w:t>
      </w:r>
      <w:r>
        <w:rPr>
          <w:rFonts w:hint="default" w:ascii="Times New Roman" w:hAnsi="Times New Roman" w:eastAsia="仿宋_GB2312" w:cs="Times New Roman"/>
          <w:color w:val="000000" w:themeColor="text1"/>
          <w:sz w:val="32"/>
          <w:szCs w:val="32"/>
          <w:lang w:val="zh-CN"/>
          <w14:textFill>
            <w14:solidFill>
              <w14:schemeClr w14:val="tx1"/>
            </w14:solidFill>
          </w14:textFill>
        </w:rPr>
        <w:t>号）</w:t>
      </w:r>
      <w:r>
        <w:rPr>
          <w:rFonts w:hint="eastAsia" w:ascii="Times New Roman" w:hAnsi="Times New Roman" w:eastAsia="仿宋_GB2312" w:cs="仿宋_GB2312"/>
          <w:sz w:val="32"/>
          <w:szCs w:val="32"/>
          <w:lang w:val="zh-CN"/>
        </w:rPr>
        <w:t>、</w:t>
      </w:r>
      <w:r>
        <w:rPr>
          <w:rFonts w:hint="eastAsia" w:ascii="Times New Roman" w:hAnsi="Times New Roman" w:eastAsia="仿宋_GB2312" w:cs="仿宋_GB2312"/>
          <w:sz w:val="32"/>
          <w:szCs w:val="32"/>
          <w:lang w:val="zh-CN" w:eastAsia="zh-CN"/>
        </w:rPr>
        <w:t>《长沙市应急管理局关于印发&lt;长沙市应急管理综合行政执法工作规定（试行）&gt;的通知》（长应急发〔2023〕37号）规定</w:t>
      </w:r>
      <w:r>
        <w:rPr>
          <w:rFonts w:hint="eastAsia" w:eastAsia="仿宋_GB2312" w:cs="Times New Roman"/>
          <w:color w:val="000000" w:themeColor="text1"/>
          <w:sz w:val="32"/>
          <w:szCs w:val="32"/>
          <w:lang w:val="zh-CN"/>
          <w14:textFill>
            <w14:solidFill>
              <w14:schemeClr w14:val="tx1"/>
            </w14:solidFill>
          </w14:textFill>
        </w:rPr>
        <w:t>及</w:t>
      </w:r>
      <w:r>
        <w:rPr>
          <w:rFonts w:hint="eastAsia" w:ascii="Times New Roman" w:hAnsi="Times New Roman" w:eastAsia="仿宋_GB2312" w:cs="仿宋_GB2312"/>
          <w:sz w:val="32"/>
          <w:szCs w:val="32"/>
          <w:lang w:val="zh-CN" w:eastAsia="zh-CN"/>
        </w:rPr>
        <w:t>分级分类执法</w:t>
      </w:r>
      <w:r>
        <w:rPr>
          <w:rFonts w:hint="eastAsia" w:ascii="Times New Roman" w:hAnsi="Times New Roman" w:eastAsia="仿宋_GB2312" w:cs="仿宋_GB2312"/>
          <w:sz w:val="32"/>
          <w:szCs w:val="32"/>
          <w:lang w:val="zh-CN"/>
        </w:rPr>
        <w:t>要求，</w:t>
      </w:r>
      <w:r>
        <w:rPr>
          <w:rFonts w:hint="eastAsia" w:eastAsia="仿宋_GB2312" w:cs="仿宋_GB2312"/>
          <w:sz w:val="32"/>
          <w:szCs w:val="32"/>
          <w:lang w:val="zh-CN"/>
        </w:rPr>
        <w:t>按照</w:t>
      </w:r>
      <w:r>
        <w:rPr>
          <w:rFonts w:hint="default" w:ascii="Times New Roman" w:hAnsi="Times New Roman" w:eastAsia="仿宋_GB2312" w:cs="Times New Roman"/>
          <w:color w:val="000000" w:themeColor="text1"/>
          <w:sz w:val="32"/>
          <w:szCs w:val="32"/>
          <w:lang w:val="zh-CN"/>
          <w14:textFill>
            <w14:solidFill>
              <w14:schemeClr w14:val="tx1"/>
            </w14:solidFill>
          </w14:textFill>
        </w:rPr>
        <w:t>“统筹兼顾、分类分级、突出重点、提高效能”的原则，结合工作实际，制定本计划。</w:t>
      </w:r>
    </w:p>
    <w:p w14:paraId="54DDD7D2">
      <w:pPr>
        <w:keepNext w:val="0"/>
        <w:keepLines w:val="0"/>
        <w:pageBreakBefore w:val="0"/>
        <w:numPr>
          <w:ilvl w:val="0"/>
          <w:numId w:val="0"/>
        </w:numPr>
        <w:wordWrap/>
        <w:overflowPunct/>
        <w:bidi w:val="0"/>
        <w:adjustRightInd w:val="0"/>
        <w:snapToGrid w:val="0"/>
        <w:spacing w:line="600" w:lineRule="exact"/>
        <w:ind w:right="0" w:firstLine="640" w:firstLineChars="200"/>
        <w:outlineLvl w:val="1"/>
        <w:rPr>
          <w:rFonts w:eastAsia="黑体"/>
          <w:sz w:val="32"/>
          <w:szCs w:val="32"/>
        </w:rPr>
      </w:pPr>
      <w:r>
        <w:rPr>
          <w:rFonts w:hint="eastAsia" w:eastAsia="黑体"/>
          <w:sz w:val="32"/>
          <w:szCs w:val="32"/>
          <w:lang w:eastAsia="zh-CN"/>
        </w:rPr>
        <w:t>一、</w:t>
      </w:r>
      <w:r>
        <w:rPr>
          <w:rFonts w:eastAsia="黑体"/>
          <w:sz w:val="32"/>
          <w:szCs w:val="32"/>
        </w:rPr>
        <w:t>目标任务</w:t>
      </w:r>
    </w:p>
    <w:p w14:paraId="7560FF48">
      <w:pPr>
        <w:keepNext w:val="0"/>
        <w:keepLines w:val="0"/>
        <w:pageBreakBefore w:val="0"/>
        <w:wordWrap/>
        <w:overflowPunct/>
        <w:bidi w:val="0"/>
        <w:adjustRightInd w:val="0"/>
        <w:snapToGrid w:val="0"/>
        <w:spacing w:line="600" w:lineRule="exact"/>
        <w:ind w:right="0" w:firstLine="640" w:firstLineChars="200"/>
        <w:rPr>
          <w:rFonts w:hint="eastAsia" w:ascii="Times New Roman" w:hAnsi="Times New Roman" w:eastAsia="仿宋_GB2312" w:cs="Times New Roman"/>
          <w:color w:val="auto"/>
          <w:sz w:val="32"/>
          <w:szCs w:val="32"/>
          <w:highlight w:val="none"/>
          <w:lang w:val="zh-CN" w:eastAsia="zh-CN"/>
        </w:rPr>
      </w:pPr>
      <w:r>
        <w:rPr>
          <w:rFonts w:eastAsia="仿宋_GB2312"/>
          <w:sz w:val="32"/>
          <w:szCs w:val="32"/>
          <w:lang w:val="zh-CN"/>
        </w:rPr>
        <w:t>深入贯彻党的二十大</w:t>
      </w:r>
      <w:r>
        <w:rPr>
          <w:rFonts w:hint="eastAsia" w:eastAsia="仿宋_GB2312"/>
          <w:sz w:val="32"/>
          <w:szCs w:val="32"/>
          <w:lang w:val="zh-CN"/>
        </w:rPr>
        <w:t>和二十届二中、三中全会精神，落实</w:t>
      </w:r>
      <w:r>
        <w:rPr>
          <w:rFonts w:eastAsia="仿宋_GB2312"/>
          <w:sz w:val="32"/>
          <w:szCs w:val="32"/>
          <w:lang w:val="zh-CN"/>
        </w:rPr>
        <w:t>党中央</w:t>
      </w:r>
      <w:r>
        <w:rPr>
          <w:rFonts w:hint="eastAsia" w:eastAsia="仿宋_GB2312"/>
          <w:sz w:val="32"/>
          <w:szCs w:val="32"/>
          <w:lang w:val="zh-CN"/>
        </w:rPr>
        <w:t>、</w:t>
      </w:r>
      <w:r>
        <w:rPr>
          <w:rFonts w:eastAsia="仿宋_GB2312"/>
          <w:sz w:val="32"/>
          <w:szCs w:val="32"/>
          <w:lang w:val="zh-CN"/>
        </w:rPr>
        <w:t>国务院关于安全生产重要决策部署，牢固树立以人民为中心的发展</w:t>
      </w:r>
      <w:r>
        <w:rPr>
          <w:rFonts w:hint="eastAsia" w:eastAsia="仿宋_GB2312"/>
          <w:sz w:val="32"/>
          <w:szCs w:val="32"/>
          <w:lang w:val="zh-CN"/>
        </w:rPr>
        <w:t>思想，</w:t>
      </w:r>
      <w:r>
        <w:rPr>
          <w:rFonts w:eastAsia="仿宋_GB2312"/>
          <w:sz w:val="32"/>
          <w:szCs w:val="32"/>
          <w:lang w:val="zh-CN"/>
        </w:rPr>
        <w:t>通过实施监督检查计划，</w:t>
      </w:r>
      <w:r>
        <w:rPr>
          <w:rFonts w:hint="eastAsia" w:eastAsia="仿宋_GB2312"/>
          <w:sz w:val="32"/>
          <w:szCs w:val="32"/>
          <w:lang w:val="zh-CN"/>
        </w:rPr>
        <w:t>推进</w:t>
      </w:r>
      <w:r>
        <w:rPr>
          <w:rFonts w:hint="default" w:ascii="Times New Roman" w:hAnsi="Times New Roman" w:eastAsia="仿宋_GB2312" w:cs="Times New Roman"/>
          <w:color w:val="000000"/>
          <w:sz w:val="32"/>
          <w:szCs w:val="32"/>
          <w:lang w:val="zh-CN"/>
        </w:rPr>
        <w:t>严格规范公正文明执法，</w:t>
      </w:r>
      <w:r>
        <w:rPr>
          <w:rFonts w:hint="eastAsia" w:ascii="Times New Roman" w:hAnsi="Times New Roman" w:eastAsia="仿宋_GB2312" w:cs="仿宋_GB2312"/>
          <w:sz w:val="32"/>
          <w:szCs w:val="32"/>
          <w:lang w:val="zh-CN"/>
        </w:rPr>
        <w:t>优化法治化营商环境，</w:t>
      </w:r>
      <w:r>
        <w:rPr>
          <w:rFonts w:hint="default" w:ascii="Times New Roman" w:hAnsi="Times New Roman" w:eastAsia="仿宋_GB2312" w:cs="Times New Roman"/>
          <w:color w:val="000000"/>
          <w:sz w:val="32"/>
          <w:szCs w:val="32"/>
          <w:lang w:val="zh-CN"/>
        </w:rPr>
        <w:t>依法依规查处违法行为，</w:t>
      </w:r>
      <w:r>
        <w:rPr>
          <w:rFonts w:hint="eastAsia" w:ascii="Times New Roman" w:hAnsi="Times New Roman" w:eastAsia="仿宋_GB2312" w:cs="仿宋_GB2312"/>
          <w:sz w:val="32"/>
          <w:szCs w:val="32"/>
          <w:lang w:val="zh-CN"/>
        </w:rPr>
        <w:t>稳固实现“三坚决两确保”工作目标，</w:t>
      </w:r>
      <w:r>
        <w:rPr>
          <w:rFonts w:hint="eastAsia" w:eastAsia="仿宋_GB2312" w:cs="仿宋_GB2312"/>
          <w:sz w:val="32"/>
          <w:szCs w:val="32"/>
          <w:lang w:val="zh-CN"/>
        </w:rPr>
        <w:t>即</w:t>
      </w:r>
      <w:r>
        <w:rPr>
          <w:rFonts w:hint="eastAsia" w:eastAsia="仿宋_GB2312" w:cs="Times New Roman"/>
          <w:color w:val="000000"/>
          <w:sz w:val="32"/>
          <w:szCs w:val="32"/>
          <w:lang w:val="en-US" w:eastAsia="zh-CN"/>
        </w:rPr>
        <w:t>坚决杜绝较大及以上事故，遏制一般事故，</w:t>
      </w:r>
      <w:r>
        <w:rPr>
          <w:rFonts w:hint="eastAsia" w:eastAsia="仿宋_GB2312" w:cs="仿宋_GB2312"/>
          <w:sz w:val="32"/>
          <w:szCs w:val="32"/>
          <w:lang w:val="zh-CN"/>
        </w:rPr>
        <w:t>直管行业零亡人事故</w:t>
      </w:r>
      <w:r>
        <w:rPr>
          <w:rFonts w:hint="eastAsia" w:ascii="Times New Roman" w:hAnsi="Times New Roman" w:eastAsia="仿宋_GB2312" w:cs="仿宋_GB2312"/>
          <w:sz w:val="32"/>
          <w:szCs w:val="32"/>
          <w:lang w:val="zh-CN"/>
        </w:rPr>
        <w:t>；</w:t>
      </w:r>
      <w:r>
        <w:rPr>
          <w:rFonts w:hint="default" w:ascii="Times New Roman" w:hAnsi="Times New Roman" w:eastAsia="仿宋_GB2312" w:cs="Times New Roman"/>
          <w:color w:val="auto"/>
          <w:sz w:val="32"/>
          <w:szCs w:val="32"/>
          <w:highlight w:val="none"/>
          <w:lang w:val="zh-CN" w:eastAsia="zh-CN"/>
        </w:rPr>
        <w:t>确保</w:t>
      </w:r>
      <w:r>
        <w:rPr>
          <w:rFonts w:hint="eastAsia" w:ascii="Times New Roman" w:hAnsi="Times New Roman" w:eastAsia="仿宋_GB2312" w:cs="Times New Roman"/>
          <w:color w:val="auto"/>
          <w:sz w:val="32"/>
          <w:szCs w:val="32"/>
          <w:highlight w:val="none"/>
          <w:lang w:val="zh-CN" w:eastAsia="zh-CN"/>
        </w:rPr>
        <w:t>全区</w:t>
      </w:r>
      <w:r>
        <w:rPr>
          <w:rFonts w:hint="default" w:ascii="Times New Roman" w:hAnsi="Times New Roman" w:eastAsia="仿宋_GB2312" w:cs="Times New Roman"/>
          <w:color w:val="auto"/>
          <w:sz w:val="32"/>
          <w:szCs w:val="32"/>
          <w:highlight w:val="none"/>
          <w:lang w:val="zh-CN" w:eastAsia="zh-CN"/>
        </w:rPr>
        <w:t>生产安全事故总量持续下降</w:t>
      </w:r>
      <w:r>
        <w:rPr>
          <w:rFonts w:hint="eastAsia" w:ascii="Times New Roman" w:hAnsi="Times New Roman" w:eastAsia="仿宋_GB2312" w:cs="Times New Roman"/>
          <w:color w:val="auto"/>
          <w:sz w:val="32"/>
          <w:szCs w:val="32"/>
          <w:highlight w:val="none"/>
          <w:lang w:val="zh-CN" w:eastAsia="zh-CN"/>
        </w:rPr>
        <w:t>，</w:t>
      </w:r>
      <w:r>
        <w:rPr>
          <w:rFonts w:hint="default" w:ascii="Times New Roman" w:hAnsi="Times New Roman" w:eastAsia="仿宋_GB2312" w:cs="Times New Roman"/>
          <w:color w:val="auto"/>
          <w:sz w:val="32"/>
          <w:szCs w:val="32"/>
          <w:highlight w:val="none"/>
          <w:lang w:val="zh-CN" w:eastAsia="zh-CN"/>
        </w:rPr>
        <w:t>确保</w:t>
      </w:r>
      <w:r>
        <w:rPr>
          <w:rFonts w:hint="eastAsia" w:ascii="Times New Roman" w:hAnsi="Times New Roman" w:eastAsia="仿宋_GB2312" w:cs="Times New Roman"/>
          <w:color w:val="auto"/>
          <w:sz w:val="32"/>
          <w:szCs w:val="32"/>
          <w:highlight w:val="none"/>
          <w:lang w:val="zh-CN" w:eastAsia="zh-CN"/>
        </w:rPr>
        <w:t>全区</w:t>
      </w:r>
      <w:r>
        <w:rPr>
          <w:rFonts w:hint="default" w:ascii="Times New Roman" w:hAnsi="Times New Roman" w:eastAsia="仿宋_GB2312" w:cs="Times New Roman"/>
          <w:color w:val="auto"/>
          <w:sz w:val="32"/>
          <w:szCs w:val="32"/>
          <w:highlight w:val="none"/>
          <w:lang w:val="zh-CN" w:eastAsia="zh-CN"/>
        </w:rPr>
        <w:t>防灾减灾形势持续稳定向好</w:t>
      </w:r>
      <w:r>
        <w:rPr>
          <w:rFonts w:hint="eastAsia" w:ascii="Times New Roman" w:hAnsi="Times New Roman" w:eastAsia="仿宋_GB2312" w:cs="Times New Roman"/>
          <w:color w:val="auto"/>
          <w:sz w:val="32"/>
          <w:szCs w:val="32"/>
          <w:highlight w:val="none"/>
          <w:lang w:val="zh-CN" w:eastAsia="zh-CN"/>
        </w:rPr>
        <w:t>。</w:t>
      </w:r>
    </w:p>
    <w:p w14:paraId="13886FFF">
      <w:pPr>
        <w:keepNext w:val="0"/>
        <w:keepLines w:val="0"/>
        <w:pageBreakBefore w:val="0"/>
        <w:wordWrap/>
        <w:overflowPunct/>
        <w:bidi w:val="0"/>
        <w:adjustRightInd w:val="0"/>
        <w:snapToGrid w:val="0"/>
        <w:spacing w:line="600" w:lineRule="exact"/>
        <w:ind w:right="0" w:firstLine="643" w:firstLineChars="200"/>
        <w:rPr>
          <w:rFonts w:hint="eastAsia" w:eastAsia="仿宋_GB2312"/>
          <w:bCs/>
          <w:kern w:val="0"/>
          <w:sz w:val="32"/>
          <w:szCs w:val="32"/>
          <w:lang w:eastAsia="zh-CN"/>
        </w:rPr>
      </w:pPr>
      <w:r>
        <w:rPr>
          <w:rFonts w:hint="eastAsia" w:eastAsia="楷体_GB2312"/>
          <w:b/>
          <w:bCs/>
          <w:kern w:val="0"/>
          <w:sz w:val="32"/>
          <w:szCs w:val="32"/>
        </w:rPr>
        <w:t>（</w:t>
      </w:r>
      <w:r>
        <w:rPr>
          <w:rFonts w:hint="eastAsia" w:eastAsia="楷体_GB2312"/>
          <w:b/>
          <w:bCs/>
          <w:kern w:val="0"/>
          <w:sz w:val="32"/>
          <w:szCs w:val="32"/>
          <w:lang w:eastAsia="zh-CN"/>
        </w:rPr>
        <w:t>一</w:t>
      </w:r>
      <w:r>
        <w:rPr>
          <w:rFonts w:hint="eastAsia" w:eastAsia="楷体_GB2312"/>
          <w:b/>
          <w:bCs/>
          <w:kern w:val="0"/>
          <w:sz w:val="32"/>
          <w:szCs w:val="32"/>
        </w:rPr>
        <w:t>）严格落实分类分级执法。</w:t>
      </w:r>
      <w:r>
        <w:rPr>
          <w:rFonts w:hint="eastAsia" w:eastAsia="仿宋_GB2312"/>
          <w:sz w:val="32"/>
          <w:szCs w:val="32"/>
          <w:lang w:eastAsia="zh-CN"/>
        </w:rPr>
        <w:t>局本级</w:t>
      </w:r>
      <w:r>
        <w:rPr>
          <w:rFonts w:hint="eastAsia" w:eastAsia="仿宋_GB2312"/>
          <w:sz w:val="32"/>
          <w:szCs w:val="32"/>
        </w:rPr>
        <w:t>按照分类分级执法规定</w:t>
      </w:r>
      <w:r>
        <w:rPr>
          <w:rFonts w:eastAsia="仿宋_GB2312"/>
          <w:bCs/>
          <w:kern w:val="0"/>
          <w:sz w:val="32"/>
          <w:szCs w:val="32"/>
        </w:rPr>
        <w:t>负责辖区内</w:t>
      </w:r>
      <w:r>
        <w:rPr>
          <w:rFonts w:hint="eastAsia" w:eastAsia="仿宋_GB2312"/>
          <w:bCs/>
          <w:kern w:val="0"/>
          <w:sz w:val="32"/>
          <w:szCs w:val="32"/>
          <w:lang w:eastAsia="zh-CN"/>
        </w:rPr>
        <w:t>除纳入省、市范畴外的</w:t>
      </w:r>
      <w:r>
        <w:rPr>
          <w:rFonts w:hint="default" w:ascii="Times New Roman" w:hAnsi="Times New Roman" w:eastAsia="仿宋_GB2312" w:cs="Times New Roman"/>
          <w:color w:val="000000" w:themeColor="text1"/>
          <w:sz w:val="32"/>
          <w:szCs w:val="32"/>
          <w14:textFill>
            <w14:solidFill>
              <w14:schemeClr w14:val="tx1"/>
            </w14:solidFill>
          </w14:textFill>
        </w:rPr>
        <w:t>其他单位</w:t>
      </w:r>
      <w:r>
        <w:rPr>
          <w:rFonts w:hint="eastAsia" w:eastAsia="仿宋_GB2312"/>
          <w:bCs/>
          <w:kern w:val="0"/>
          <w:sz w:val="32"/>
          <w:szCs w:val="32"/>
          <w:lang w:eastAsia="zh-CN"/>
        </w:rPr>
        <w:t>的</w:t>
      </w:r>
      <w:r>
        <w:rPr>
          <w:rFonts w:hint="default" w:ascii="Times New Roman" w:hAnsi="Times New Roman" w:eastAsia="仿宋_GB2312" w:cs="Times New Roman"/>
          <w:color w:val="000000" w:themeColor="text1"/>
          <w:sz w:val="32"/>
          <w:szCs w:val="32"/>
          <w14:textFill>
            <w14:solidFill>
              <w14:schemeClr w14:val="tx1"/>
            </w14:solidFill>
          </w14:textFill>
        </w:rPr>
        <w:t>安全生产</w:t>
      </w:r>
      <w:r>
        <w:rPr>
          <w:rFonts w:hint="eastAsia" w:eastAsia="仿宋_GB2312" w:cs="Times New Roman"/>
          <w:color w:val="000000" w:themeColor="text1"/>
          <w:sz w:val="32"/>
          <w:szCs w:val="32"/>
          <w:lang w:val="en-US" w:eastAsia="zh-CN"/>
          <w14:textFill>
            <w14:solidFill>
              <w14:schemeClr w14:val="tx1"/>
            </w14:solidFill>
          </w14:textFill>
        </w:rPr>
        <w:t>执法</w:t>
      </w:r>
      <w:r>
        <w:rPr>
          <w:rFonts w:hint="eastAsia" w:eastAsia="仿宋_GB2312"/>
          <w:bCs/>
          <w:kern w:val="0"/>
          <w:sz w:val="32"/>
          <w:szCs w:val="32"/>
          <w:lang w:eastAsia="zh-CN"/>
        </w:rPr>
        <w:t>，但不承担中央在湘和省属企业的执法，确保辖区内重点单位执法全覆盖</w:t>
      </w:r>
      <w:r>
        <w:rPr>
          <w:rFonts w:hint="eastAsia" w:eastAsia="仿宋_GB2312"/>
          <w:sz w:val="32"/>
          <w:szCs w:val="32"/>
        </w:rPr>
        <w:t>。</w:t>
      </w:r>
      <w:r>
        <w:rPr>
          <w:rFonts w:hint="eastAsia" w:eastAsia="仿宋_GB2312"/>
          <w:bCs/>
          <w:kern w:val="0"/>
          <w:sz w:val="32"/>
          <w:szCs w:val="32"/>
          <w:lang w:eastAsia="zh-CN"/>
        </w:rPr>
        <w:t>组织指导部署乡镇（街道）及园区的执法。依法查办上级交办的有关安全生产违法行为案件，依法查办乡镇（街道）及园区移送的违法行为案件。</w:t>
      </w:r>
    </w:p>
    <w:p w14:paraId="5458D0CD">
      <w:pPr>
        <w:keepNext w:val="0"/>
        <w:keepLines w:val="0"/>
        <w:pageBreakBefore w:val="0"/>
        <w:wordWrap/>
        <w:overflowPunct/>
        <w:bidi w:val="0"/>
        <w:adjustRightInd w:val="0"/>
        <w:snapToGrid w:val="0"/>
        <w:spacing w:line="600" w:lineRule="exact"/>
        <w:ind w:right="0" w:firstLine="643" w:firstLineChars="200"/>
        <w:rPr>
          <w:rFonts w:eastAsia="仿宋_GB2312"/>
          <w:sz w:val="32"/>
          <w:szCs w:val="32"/>
          <w:lang w:val="zh-CN"/>
        </w:rPr>
      </w:pPr>
      <w:r>
        <w:rPr>
          <w:rFonts w:hint="eastAsia" w:ascii="Times New Roman" w:hAnsi="Times New Roman" w:eastAsia="楷体_GB2312"/>
          <w:b/>
          <w:bCs/>
          <w:color w:val="auto"/>
          <w:sz w:val="32"/>
          <w:szCs w:val="32"/>
        </w:rPr>
        <w:t>（</w:t>
      </w:r>
      <w:r>
        <w:rPr>
          <w:rFonts w:hint="eastAsia" w:eastAsia="楷体_GB2312"/>
          <w:b/>
          <w:bCs/>
          <w:color w:val="auto"/>
          <w:sz w:val="32"/>
          <w:szCs w:val="32"/>
          <w:lang w:eastAsia="zh-CN"/>
        </w:rPr>
        <w:t>二</w:t>
      </w:r>
      <w:r>
        <w:rPr>
          <w:rFonts w:hint="eastAsia" w:ascii="Times New Roman" w:hAnsi="Times New Roman" w:eastAsia="楷体_GB2312"/>
          <w:b/>
          <w:bCs/>
          <w:color w:val="auto"/>
          <w:sz w:val="32"/>
          <w:szCs w:val="32"/>
        </w:rPr>
        <w:t>）</w:t>
      </w:r>
      <w:r>
        <w:rPr>
          <w:rFonts w:eastAsia="楷体_GB2312"/>
          <w:b/>
          <w:bCs/>
          <w:kern w:val="0"/>
          <w:sz w:val="32"/>
          <w:szCs w:val="32"/>
        </w:rPr>
        <w:t>抓好</w:t>
      </w:r>
      <w:r>
        <w:rPr>
          <w:rFonts w:hint="eastAsia" w:eastAsia="楷体_GB2312"/>
          <w:b/>
          <w:bCs/>
          <w:kern w:val="0"/>
          <w:sz w:val="32"/>
          <w:szCs w:val="32"/>
          <w:lang w:val="en-US" w:eastAsia="zh-CN"/>
        </w:rPr>
        <w:t>区</w:t>
      </w:r>
      <w:r>
        <w:rPr>
          <w:rFonts w:eastAsia="楷体_GB2312"/>
          <w:b/>
          <w:bCs/>
          <w:kern w:val="0"/>
          <w:sz w:val="32"/>
          <w:szCs w:val="32"/>
        </w:rPr>
        <w:t>本级执法对象的监管执法。</w:t>
      </w:r>
      <w:r>
        <w:rPr>
          <w:rFonts w:eastAsia="仿宋_GB2312"/>
          <w:sz w:val="32"/>
          <w:szCs w:val="32"/>
          <w:lang w:val="zh-CN"/>
        </w:rPr>
        <w:t>年度内</w:t>
      </w:r>
      <w:r>
        <w:rPr>
          <w:rFonts w:hint="eastAsia" w:eastAsia="仿宋_GB2312"/>
          <w:sz w:val="32"/>
          <w:szCs w:val="32"/>
          <w:lang w:val="zh-CN"/>
        </w:rPr>
        <w:t>局</w:t>
      </w:r>
      <w:r>
        <w:rPr>
          <w:rFonts w:eastAsia="仿宋_GB2312"/>
          <w:sz w:val="32"/>
          <w:szCs w:val="32"/>
          <w:lang w:val="zh-CN"/>
        </w:rPr>
        <w:t>本级</w:t>
      </w:r>
      <w:r>
        <w:rPr>
          <w:rFonts w:hint="eastAsia" w:eastAsia="仿宋_GB2312"/>
          <w:sz w:val="32"/>
          <w:szCs w:val="32"/>
          <w:lang w:val="zh-CN"/>
        </w:rPr>
        <w:t>重点执法企业</w:t>
      </w:r>
      <w:r>
        <w:rPr>
          <w:rFonts w:hint="eastAsia" w:eastAsia="仿宋_GB2312"/>
          <w:sz w:val="32"/>
          <w:szCs w:val="32"/>
          <w:lang w:val="en-US" w:eastAsia="zh-CN"/>
        </w:rPr>
        <w:t>200</w:t>
      </w:r>
      <w:r>
        <w:rPr>
          <w:rFonts w:hint="eastAsia" w:eastAsia="仿宋_GB2312"/>
          <w:sz w:val="32"/>
          <w:szCs w:val="32"/>
          <w:lang w:val="zh-CN"/>
        </w:rPr>
        <w:t>家</w:t>
      </w:r>
      <w:r>
        <w:rPr>
          <w:rFonts w:eastAsia="仿宋_GB2312"/>
          <w:sz w:val="32"/>
          <w:szCs w:val="32"/>
          <w:lang w:val="zh-CN"/>
        </w:rPr>
        <w:t>，其中</w:t>
      </w:r>
      <w:r>
        <w:rPr>
          <w:rFonts w:hint="eastAsia" w:eastAsia="仿宋_GB2312"/>
          <w:sz w:val="32"/>
          <w:szCs w:val="32"/>
          <w:lang w:val="zh-CN"/>
        </w:rPr>
        <w:t>，</w:t>
      </w:r>
      <w:r>
        <w:rPr>
          <w:rFonts w:eastAsia="仿宋_GB2312"/>
          <w:sz w:val="32"/>
          <w:szCs w:val="32"/>
          <w:lang w:val="zh-CN"/>
        </w:rPr>
        <w:t>工贸企业</w:t>
      </w:r>
      <w:r>
        <w:rPr>
          <w:rFonts w:hint="eastAsia" w:eastAsia="仿宋_GB2312"/>
          <w:sz w:val="32"/>
          <w:szCs w:val="32"/>
          <w:lang w:val="en-US" w:eastAsia="zh-CN"/>
        </w:rPr>
        <w:t>97</w:t>
      </w:r>
      <w:r>
        <w:rPr>
          <w:rFonts w:eastAsia="仿宋_GB2312"/>
          <w:sz w:val="32"/>
          <w:szCs w:val="32"/>
          <w:lang w:val="zh-CN"/>
        </w:rPr>
        <w:t>家，</w:t>
      </w:r>
      <w:r>
        <w:rPr>
          <w:rFonts w:hint="eastAsia" w:eastAsia="仿宋_GB2312"/>
          <w:sz w:val="32"/>
          <w:szCs w:val="32"/>
          <w:lang w:val="zh-CN"/>
        </w:rPr>
        <w:t>危险化学品</w:t>
      </w:r>
      <w:r>
        <w:rPr>
          <w:rFonts w:eastAsia="仿宋_GB2312"/>
          <w:sz w:val="32"/>
          <w:szCs w:val="32"/>
          <w:lang w:val="zh-CN"/>
        </w:rPr>
        <w:t>企业</w:t>
      </w:r>
      <w:r>
        <w:rPr>
          <w:rFonts w:hint="eastAsia" w:eastAsia="仿宋_GB2312"/>
          <w:sz w:val="32"/>
          <w:szCs w:val="32"/>
          <w:lang w:val="en-US" w:eastAsia="zh-CN"/>
        </w:rPr>
        <w:t>98</w:t>
      </w:r>
      <w:r>
        <w:rPr>
          <w:rFonts w:eastAsia="仿宋_GB2312"/>
          <w:sz w:val="32"/>
          <w:szCs w:val="32"/>
          <w:lang w:val="zh-CN"/>
        </w:rPr>
        <w:t>家，烟花爆竹企业</w:t>
      </w:r>
      <w:r>
        <w:rPr>
          <w:rFonts w:hint="eastAsia" w:eastAsia="仿宋_GB2312"/>
          <w:sz w:val="32"/>
          <w:szCs w:val="32"/>
          <w:lang w:val="en-US" w:eastAsia="zh-CN"/>
        </w:rPr>
        <w:t>4</w:t>
      </w:r>
      <w:r>
        <w:rPr>
          <w:rFonts w:eastAsia="仿宋_GB2312"/>
          <w:sz w:val="32"/>
          <w:szCs w:val="32"/>
          <w:lang w:val="zh-CN"/>
        </w:rPr>
        <w:t>家</w:t>
      </w:r>
      <w:r>
        <w:rPr>
          <w:rFonts w:hint="eastAsia" w:eastAsia="仿宋_GB2312"/>
          <w:sz w:val="32"/>
          <w:szCs w:val="32"/>
          <w:lang w:val="zh-CN"/>
        </w:rPr>
        <w:t>，安全培训机构</w:t>
      </w:r>
      <w:r>
        <w:rPr>
          <w:rFonts w:hint="eastAsia" w:eastAsia="仿宋_GB2312"/>
          <w:sz w:val="32"/>
          <w:szCs w:val="32"/>
          <w:lang w:val="en-US" w:eastAsia="zh-CN"/>
        </w:rPr>
        <w:t>1</w:t>
      </w:r>
      <w:r>
        <w:rPr>
          <w:rFonts w:hint="eastAsia" w:eastAsia="仿宋_GB2312"/>
          <w:sz w:val="32"/>
          <w:szCs w:val="32"/>
          <w:lang w:val="zh-CN"/>
        </w:rPr>
        <w:t>家</w:t>
      </w:r>
      <w:r>
        <w:rPr>
          <w:rFonts w:eastAsia="仿宋_GB2312"/>
          <w:sz w:val="32"/>
          <w:szCs w:val="32"/>
          <w:lang w:val="zh-CN"/>
        </w:rPr>
        <w:t>。</w:t>
      </w:r>
      <w:r>
        <w:rPr>
          <w:rFonts w:hint="eastAsia" w:eastAsia="仿宋_GB2312"/>
          <w:sz w:val="32"/>
          <w:szCs w:val="32"/>
          <w:lang w:val="zh-CN"/>
        </w:rPr>
        <w:t>“双随机、一公开”执法检查不少于企业</w:t>
      </w:r>
      <w:r>
        <w:rPr>
          <w:rFonts w:hint="eastAsia" w:eastAsia="仿宋_GB2312"/>
          <w:sz w:val="32"/>
          <w:szCs w:val="32"/>
          <w:lang w:val="en-US" w:eastAsia="zh-CN"/>
        </w:rPr>
        <w:t>62</w:t>
      </w:r>
      <w:r>
        <w:rPr>
          <w:rFonts w:hint="eastAsia" w:eastAsia="仿宋_GB2312"/>
          <w:sz w:val="32"/>
          <w:szCs w:val="32"/>
          <w:lang w:val="zh-CN"/>
        </w:rPr>
        <w:t>家，</w:t>
      </w:r>
      <w:r>
        <w:rPr>
          <w:rFonts w:eastAsia="仿宋_GB2312"/>
          <w:sz w:val="32"/>
          <w:szCs w:val="32"/>
          <w:lang w:val="zh-CN"/>
        </w:rPr>
        <w:t>其中</w:t>
      </w:r>
      <w:r>
        <w:rPr>
          <w:rFonts w:hint="eastAsia" w:eastAsia="仿宋_GB2312"/>
          <w:sz w:val="32"/>
          <w:szCs w:val="32"/>
          <w:lang w:val="zh-CN"/>
        </w:rPr>
        <w:t>，危险化学品</w:t>
      </w:r>
      <w:r>
        <w:rPr>
          <w:rFonts w:eastAsia="仿宋_GB2312"/>
          <w:sz w:val="32"/>
          <w:szCs w:val="32"/>
          <w:lang w:val="zh-CN"/>
        </w:rPr>
        <w:t>企业</w:t>
      </w:r>
      <w:r>
        <w:rPr>
          <w:rFonts w:hint="eastAsia" w:eastAsia="仿宋_GB2312"/>
          <w:sz w:val="32"/>
          <w:szCs w:val="32"/>
          <w:lang w:val="en-US" w:eastAsia="zh-CN"/>
        </w:rPr>
        <w:t>20</w:t>
      </w:r>
      <w:r>
        <w:rPr>
          <w:rFonts w:eastAsia="仿宋_GB2312"/>
          <w:sz w:val="32"/>
          <w:szCs w:val="32"/>
          <w:lang w:val="zh-CN"/>
        </w:rPr>
        <w:t>家</w:t>
      </w:r>
      <w:r>
        <w:rPr>
          <w:rFonts w:hint="eastAsia" w:eastAsia="仿宋_GB2312"/>
          <w:sz w:val="32"/>
          <w:szCs w:val="32"/>
          <w:lang w:val="zh-CN"/>
        </w:rPr>
        <w:t>，</w:t>
      </w:r>
      <w:r>
        <w:rPr>
          <w:rFonts w:eastAsia="仿宋_GB2312"/>
          <w:sz w:val="32"/>
          <w:szCs w:val="32"/>
          <w:lang w:val="zh-CN"/>
        </w:rPr>
        <w:t>烟花爆竹企业</w:t>
      </w:r>
      <w:r>
        <w:rPr>
          <w:rFonts w:hint="eastAsia" w:eastAsia="仿宋_GB2312"/>
          <w:sz w:val="32"/>
          <w:szCs w:val="32"/>
          <w:lang w:val="en-US" w:eastAsia="zh-CN"/>
        </w:rPr>
        <w:t>12</w:t>
      </w:r>
      <w:r>
        <w:rPr>
          <w:rFonts w:eastAsia="仿宋_GB2312"/>
          <w:sz w:val="32"/>
          <w:szCs w:val="32"/>
          <w:lang w:val="zh-CN"/>
        </w:rPr>
        <w:t>家，工贸企业</w:t>
      </w:r>
      <w:r>
        <w:rPr>
          <w:rFonts w:hint="eastAsia" w:eastAsia="仿宋_GB2312"/>
          <w:sz w:val="32"/>
          <w:szCs w:val="32"/>
          <w:lang w:val="en-US" w:eastAsia="zh-CN"/>
        </w:rPr>
        <w:t>30</w:t>
      </w:r>
      <w:r>
        <w:rPr>
          <w:rFonts w:eastAsia="仿宋_GB2312"/>
          <w:sz w:val="32"/>
          <w:szCs w:val="32"/>
          <w:lang w:val="zh-CN"/>
        </w:rPr>
        <w:t>家。纳入“双随机</w:t>
      </w:r>
      <w:r>
        <w:rPr>
          <w:rFonts w:hint="eastAsia" w:eastAsia="仿宋_GB2312"/>
          <w:sz w:val="32"/>
          <w:szCs w:val="32"/>
          <w:lang w:val="zh-CN"/>
        </w:rPr>
        <w:t>、</w:t>
      </w:r>
      <w:r>
        <w:rPr>
          <w:rFonts w:eastAsia="仿宋_GB2312"/>
          <w:sz w:val="32"/>
          <w:szCs w:val="32"/>
          <w:lang w:val="zh-CN"/>
        </w:rPr>
        <w:t>一公开”抽查</w:t>
      </w:r>
      <w:r>
        <w:rPr>
          <w:rFonts w:hint="default" w:eastAsia="仿宋_GB2312"/>
          <w:sz w:val="32"/>
          <w:szCs w:val="32"/>
          <w:lang w:val="zh-CN"/>
        </w:rPr>
        <w:t>、重点时段和专项执法检查范畴的企业随机抽选确定</w:t>
      </w:r>
      <w:r>
        <w:rPr>
          <w:rFonts w:eastAsia="仿宋_GB2312"/>
          <w:sz w:val="32"/>
          <w:szCs w:val="32"/>
          <w:lang w:val="zh-CN"/>
        </w:rPr>
        <w:t>。</w:t>
      </w:r>
      <w:r>
        <w:rPr>
          <w:rFonts w:hint="default" w:eastAsia="仿宋_GB2312"/>
          <w:sz w:val="32"/>
          <w:szCs w:val="32"/>
          <w:lang w:val="zh-CN"/>
        </w:rPr>
        <w:t>重点时段和专项监督检查不设定企业数量</w:t>
      </w:r>
      <w:r>
        <w:rPr>
          <w:rFonts w:hint="eastAsia" w:eastAsia="仿宋_GB2312"/>
          <w:sz w:val="32"/>
          <w:szCs w:val="32"/>
          <w:lang w:val="zh-CN"/>
        </w:rPr>
        <w:t>，实行一事一报，明确检查对象、时间、内容，经单位负责人批准后实施，并建立台账备查（</w:t>
      </w:r>
      <w:r>
        <w:rPr>
          <w:rFonts w:eastAsia="仿宋_GB2312"/>
          <w:sz w:val="32"/>
          <w:szCs w:val="32"/>
          <w:lang w:val="zh-CN"/>
        </w:rPr>
        <w:t>各行业领域年度监督检查计划见附件</w:t>
      </w:r>
      <w:r>
        <w:rPr>
          <w:rFonts w:hint="eastAsia" w:eastAsia="仿宋_GB2312"/>
          <w:sz w:val="32"/>
          <w:szCs w:val="32"/>
          <w:lang w:val="zh-CN"/>
        </w:rPr>
        <w:t>）</w:t>
      </w:r>
      <w:r>
        <w:rPr>
          <w:rFonts w:eastAsia="仿宋_GB2312"/>
          <w:sz w:val="32"/>
          <w:szCs w:val="32"/>
          <w:lang w:val="zh-CN"/>
        </w:rPr>
        <w:t>。</w:t>
      </w:r>
    </w:p>
    <w:p w14:paraId="02A9FEAF">
      <w:pPr>
        <w:keepNext w:val="0"/>
        <w:keepLines w:val="0"/>
        <w:pageBreakBefore w:val="0"/>
        <w:widowControl w:val="0"/>
        <w:kinsoku/>
        <w:wordWrap w:val="0"/>
        <w:overflowPunct w:val="0"/>
        <w:topLinePunct/>
        <w:autoSpaceDE/>
        <w:autoSpaceDN/>
        <w:bidi w:val="0"/>
        <w:adjustRightInd w:val="0"/>
        <w:snapToGrid w:val="0"/>
        <w:spacing w:line="570" w:lineRule="exact"/>
        <w:ind w:firstLine="643" w:firstLineChars="200"/>
        <w:textAlignment w:val="auto"/>
        <w:rPr>
          <w:rFonts w:hint="eastAsia" w:ascii="仿宋_GB2312" w:hAnsi="仿宋_GB2312" w:eastAsia="仿宋_GB2312" w:cs="仿宋_GB2312"/>
          <w:b w:val="0"/>
          <w:i w:val="0"/>
          <w:caps w:val="0"/>
          <w:spacing w:val="0"/>
          <w:sz w:val="32"/>
          <w:szCs w:val="32"/>
          <w:shd w:val="clear" w:color="auto" w:fill="FFFFFF"/>
          <w:lang w:eastAsia="zh-CN"/>
        </w:rPr>
      </w:pPr>
      <w:r>
        <w:rPr>
          <w:rFonts w:hint="eastAsia" w:ascii="Times New Roman" w:hAnsi="Times New Roman" w:eastAsia="楷体_GB2312" w:cs="楷体_GB2312"/>
          <w:b/>
          <w:bCs/>
          <w:sz w:val="32"/>
          <w:szCs w:val="32"/>
        </w:rPr>
        <w:t>（</w:t>
      </w:r>
      <w:r>
        <w:rPr>
          <w:rFonts w:hint="eastAsia" w:ascii="Times New Roman" w:hAnsi="Times New Roman" w:eastAsia="楷体_GB2312" w:cs="楷体_GB2312"/>
          <w:b/>
          <w:bCs/>
          <w:sz w:val="32"/>
          <w:szCs w:val="32"/>
          <w:lang w:eastAsia="zh-CN"/>
        </w:rPr>
        <w:t>三</w:t>
      </w:r>
      <w:r>
        <w:rPr>
          <w:rFonts w:hint="eastAsia" w:ascii="Times New Roman" w:hAnsi="Times New Roman" w:eastAsia="楷体_GB2312" w:cs="楷体_GB2312"/>
          <w:b/>
          <w:bCs/>
          <w:sz w:val="32"/>
          <w:szCs w:val="32"/>
        </w:rPr>
        <w:t>）</w:t>
      </w:r>
      <w:r>
        <w:rPr>
          <w:rFonts w:hint="eastAsia" w:ascii="Times New Roman" w:hAnsi="Times New Roman" w:eastAsia="楷体_GB2312" w:cs="楷体_GB2312"/>
          <w:b/>
          <w:bCs/>
          <w:sz w:val="32"/>
          <w:szCs w:val="32"/>
          <w:lang w:val="en" w:eastAsia="zh-CN"/>
        </w:rPr>
        <w:t>严格监督检查频次。</w:t>
      </w:r>
      <w:r>
        <w:rPr>
          <w:rFonts w:hint="default" w:ascii="仿宋_GB2312" w:hAnsi="仿宋_GB2312" w:eastAsia="仿宋_GB2312" w:cs="仿宋_GB2312"/>
          <w:b w:val="0"/>
          <w:bCs w:val="0"/>
          <w:i w:val="0"/>
          <w:caps w:val="0"/>
          <w:spacing w:val="0"/>
          <w:sz w:val="32"/>
          <w:szCs w:val="32"/>
          <w:shd w:val="clear" w:color="auto" w:fill="auto"/>
          <w:lang w:val="zh-CN"/>
        </w:rPr>
        <w:t>认真落实</w:t>
      </w:r>
      <w:r>
        <w:rPr>
          <w:rFonts w:hint="eastAsia" w:ascii="仿宋_GB2312" w:hAnsi="仿宋_GB2312" w:eastAsia="仿宋_GB2312" w:cs="仿宋_GB2312"/>
          <w:b w:val="0"/>
          <w:bCs w:val="0"/>
          <w:i w:val="0"/>
          <w:caps w:val="0"/>
          <w:spacing w:val="0"/>
          <w:sz w:val="32"/>
          <w:szCs w:val="32"/>
          <w:shd w:val="clear" w:color="auto" w:fill="auto"/>
          <w:lang w:val="zh-CN"/>
        </w:rPr>
        <w:t>《国务院办公厅关于严格规范涉企行政检查的意见</w:t>
      </w:r>
      <w:r>
        <w:rPr>
          <w:rFonts w:hint="eastAsia" w:ascii="仿宋_GB2312" w:hAnsi="仿宋_GB2312" w:eastAsia="仿宋_GB2312" w:cs="仿宋_GB2312"/>
          <w:sz w:val="32"/>
          <w:szCs w:val="32"/>
          <w:lang w:val="zh-CN"/>
        </w:rPr>
        <w:t>》（国办发〔202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54</w:t>
      </w:r>
      <w:r>
        <w:rPr>
          <w:rFonts w:hint="eastAsia" w:ascii="仿宋_GB2312" w:hAnsi="仿宋_GB2312" w:eastAsia="仿宋_GB2312" w:cs="仿宋_GB2312"/>
          <w:sz w:val="32"/>
          <w:szCs w:val="32"/>
          <w:lang w:val="zh-CN"/>
        </w:rPr>
        <w:t>号）、</w:t>
      </w:r>
      <w:r>
        <w:rPr>
          <w:rFonts w:hint="eastAsia" w:ascii="仿宋_GB2312" w:hAnsi="仿宋_GB2312" w:eastAsia="仿宋_GB2312" w:cs="仿宋_GB2312"/>
          <w:sz w:val="32"/>
          <w:szCs w:val="32"/>
          <w:shd w:val="clear" w:color="auto" w:fill="FFFFFF"/>
          <w:lang w:val="zh-CN"/>
        </w:rPr>
        <w:t>《</w:t>
      </w:r>
      <w:r>
        <w:rPr>
          <w:rFonts w:hint="eastAsia" w:ascii="仿宋_GB2312" w:hAnsi="仿宋_GB2312" w:eastAsia="仿宋_GB2312" w:cs="仿宋_GB2312"/>
          <w:sz w:val="32"/>
          <w:szCs w:val="32"/>
          <w:shd w:val="clear" w:color="auto" w:fill="FFFFFF"/>
        </w:rPr>
        <w:t>应急管理部关于加强安全生产执法工作的意见</w:t>
      </w:r>
      <w:r>
        <w:rPr>
          <w:rFonts w:hint="eastAsia" w:ascii="仿宋_GB2312" w:hAnsi="仿宋_GB2312" w:eastAsia="仿宋_GB2312" w:cs="仿宋_GB2312"/>
          <w:sz w:val="32"/>
          <w:szCs w:val="32"/>
          <w:shd w:val="clear" w:color="auto" w:fill="FFFFFF"/>
          <w:lang w:val="zh-CN"/>
        </w:rPr>
        <w:t>》</w:t>
      </w:r>
      <w:r>
        <w:rPr>
          <w:rFonts w:hint="eastAsia" w:ascii="仿宋_GB2312" w:hAnsi="仿宋_GB2312" w:eastAsia="仿宋_GB2312" w:cs="仿宋_GB2312"/>
          <w:sz w:val="32"/>
          <w:szCs w:val="32"/>
          <w:shd w:val="clear" w:color="auto" w:fill="FFFFFF"/>
        </w:rPr>
        <w:t>（应急〔2021〕23号）</w:t>
      </w:r>
      <w:r>
        <w:rPr>
          <w:rFonts w:hint="default" w:ascii="仿宋_GB2312" w:hAnsi="仿宋_GB2312" w:eastAsia="仿宋_GB2312" w:cs="仿宋_GB2312"/>
          <w:sz w:val="32"/>
          <w:szCs w:val="32"/>
          <w:shd w:val="clear" w:color="auto" w:fill="FFFFFF"/>
        </w:rPr>
        <w:t>精神，</w:t>
      </w:r>
      <w:r>
        <w:rPr>
          <w:rFonts w:hint="eastAsia" w:ascii="仿宋_GB2312" w:hAnsi="仿宋_GB2312" w:eastAsia="仿宋_GB2312" w:cs="仿宋_GB2312"/>
          <w:sz w:val="32"/>
          <w:szCs w:val="32"/>
          <w:shd w:val="clear" w:color="auto" w:fill="FFFFFF"/>
          <w:lang w:eastAsia="zh-CN"/>
        </w:rPr>
        <w:t>年度内除</w:t>
      </w:r>
      <w:r>
        <w:rPr>
          <w:rFonts w:hint="eastAsia" w:ascii="仿宋_GB2312" w:hAnsi="仿宋_GB2312" w:eastAsia="仿宋_GB2312" w:cs="仿宋_GB2312"/>
          <w:sz w:val="32"/>
          <w:szCs w:val="32"/>
          <w:shd w:val="clear" w:color="auto" w:fill="FFFFFF"/>
        </w:rPr>
        <w:t>根据投诉举报、</w:t>
      </w:r>
      <w:r>
        <w:rPr>
          <w:rFonts w:hint="eastAsia" w:ascii="仿宋_GB2312" w:hAnsi="仿宋_GB2312" w:eastAsia="仿宋_GB2312" w:cs="仿宋_GB2312"/>
          <w:b w:val="0"/>
          <w:i w:val="0"/>
          <w:caps w:val="0"/>
          <w:spacing w:val="0"/>
          <w:sz w:val="32"/>
          <w:szCs w:val="32"/>
          <w:shd w:val="clear" w:color="auto" w:fill="FFFFFF"/>
        </w:rPr>
        <w:t>转办交办、数据监测等线索确需</w:t>
      </w:r>
      <w:r>
        <w:rPr>
          <w:rFonts w:hint="eastAsia" w:ascii="仿宋_GB2312" w:hAnsi="仿宋_GB2312" w:eastAsia="仿宋_GB2312" w:cs="仿宋_GB2312"/>
          <w:b w:val="0"/>
          <w:i w:val="0"/>
          <w:caps w:val="0"/>
          <w:spacing w:val="0"/>
          <w:sz w:val="32"/>
          <w:szCs w:val="32"/>
          <w:shd w:val="clear" w:color="auto" w:fill="FFFFFF"/>
          <w:lang w:eastAsia="zh-CN"/>
        </w:rPr>
        <w:t>对企业</w:t>
      </w:r>
      <w:r>
        <w:rPr>
          <w:rFonts w:hint="eastAsia" w:ascii="仿宋_GB2312" w:hAnsi="仿宋_GB2312" w:eastAsia="仿宋_GB2312" w:cs="仿宋_GB2312"/>
          <w:b w:val="0"/>
          <w:i w:val="0"/>
          <w:caps w:val="0"/>
          <w:spacing w:val="0"/>
          <w:sz w:val="32"/>
          <w:szCs w:val="32"/>
          <w:shd w:val="clear" w:color="auto" w:fill="FFFFFF"/>
        </w:rPr>
        <w:t>实施行政检查，或者应企业申请实施行政检查的，可以不受频次上限限制</w:t>
      </w:r>
      <w:r>
        <w:rPr>
          <w:rFonts w:hint="eastAsia" w:ascii="仿宋_GB2312" w:hAnsi="仿宋_GB2312" w:eastAsia="仿宋_GB2312" w:cs="仿宋_GB2312"/>
          <w:sz w:val="32"/>
          <w:szCs w:val="32"/>
          <w:shd w:val="clear" w:color="auto" w:fill="FFFFFF"/>
          <w:lang w:eastAsia="zh-CN" w:bidi="ar"/>
        </w:rPr>
        <w:t>外，其</w:t>
      </w:r>
      <w:r>
        <w:rPr>
          <w:rFonts w:hint="eastAsia" w:ascii="仿宋_GB2312" w:hAnsi="仿宋_GB2312" w:eastAsia="仿宋_GB2312" w:cs="仿宋_GB2312"/>
          <w:b w:val="0"/>
          <w:i w:val="0"/>
          <w:caps w:val="0"/>
          <w:spacing w:val="0"/>
          <w:sz w:val="32"/>
          <w:szCs w:val="32"/>
          <w:shd w:val="clear" w:color="auto" w:fill="FFFFFF"/>
          <w:lang w:eastAsia="zh-CN"/>
        </w:rPr>
        <w:t>他对企业实施的监督检查设定检查频次上限，其中，列入重点监督检查的企业</w:t>
      </w:r>
      <w:r>
        <w:rPr>
          <w:rFonts w:hint="eastAsia" w:ascii="仿宋_GB2312" w:hAnsi="仿宋_GB2312" w:eastAsia="仿宋_GB2312" w:cs="仿宋_GB2312"/>
          <w:b w:val="0"/>
          <w:i w:val="0"/>
          <w:caps w:val="0"/>
          <w:spacing w:val="0"/>
          <w:sz w:val="32"/>
          <w:szCs w:val="32"/>
          <w:shd w:val="clear" w:color="auto" w:fill="FFFFFF"/>
          <w:lang w:val="en-US" w:eastAsia="zh-CN"/>
        </w:rPr>
        <w:t>检查</w:t>
      </w:r>
      <w:r>
        <w:rPr>
          <w:rFonts w:hint="eastAsia" w:ascii="仿宋_GB2312" w:hAnsi="仿宋_GB2312" w:eastAsia="仿宋_GB2312" w:cs="仿宋_GB2312"/>
          <w:b w:val="0"/>
          <w:i w:val="0"/>
          <w:caps w:val="0"/>
          <w:spacing w:val="0"/>
          <w:sz w:val="32"/>
          <w:szCs w:val="32"/>
          <w:shd w:val="clear" w:color="auto" w:fill="FFFFFF"/>
          <w:lang w:eastAsia="zh-CN"/>
        </w:rPr>
        <w:t>不得超过四次，对列入“双随机、一公开”监督检查的企业</w:t>
      </w:r>
      <w:r>
        <w:rPr>
          <w:rFonts w:hint="eastAsia" w:ascii="仿宋_GB2312" w:hAnsi="仿宋_GB2312" w:eastAsia="仿宋_GB2312" w:cs="仿宋_GB2312"/>
          <w:b w:val="0"/>
          <w:i w:val="0"/>
          <w:caps w:val="0"/>
          <w:spacing w:val="0"/>
          <w:sz w:val="32"/>
          <w:szCs w:val="32"/>
          <w:shd w:val="clear" w:color="auto" w:fill="FFFFFF"/>
          <w:lang w:val="en-US" w:eastAsia="zh-CN"/>
        </w:rPr>
        <w:t>检查</w:t>
      </w:r>
      <w:r>
        <w:rPr>
          <w:rFonts w:hint="eastAsia" w:ascii="仿宋_GB2312" w:hAnsi="仿宋_GB2312" w:eastAsia="仿宋_GB2312" w:cs="仿宋_GB2312"/>
          <w:b w:val="0"/>
          <w:i w:val="0"/>
          <w:caps w:val="0"/>
          <w:spacing w:val="0"/>
          <w:sz w:val="32"/>
          <w:szCs w:val="32"/>
          <w:shd w:val="clear" w:color="auto" w:fill="FFFFFF"/>
          <w:lang w:eastAsia="zh-CN"/>
        </w:rPr>
        <w:t>不得超过两次，对未列入监督检查计划的其他企业</w:t>
      </w:r>
      <w:r>
        <w:rPr>
          <w:rFonts w:hint="eastAsia" w:ascii="仿宋_GB2312" w:hAnsi="仿宋_GB2312" w:eastAsia="仿宋_GB2312" w:cs="仿宋_GB2312"/>
          <w:b w:val="0"/>
          <w:i w:val="0"/>
          <w:caps w:val="0"/>
          <w:spacing w:val="0"/>
          <w:sz w:val="32"/>
          <w:szCs w:val="32"/>
          <w:shd w:val="clear" w:color="auto" w:fill="FFFFFF"/>
          <w:lang w:val="en-US" w:eastAsia="zh-CN"/>
        </w:rPr>
        <w:t>检查</w:t>
      </w:r>
      <w:r>
        <w:rPr>
          <w:rFonts w:hint="eastAsia" w:ascii="仿宋_GB2312" w:hAnsi="仿宋_GB2312" w:eastAsia="仿宋_GB2312" w:cs="仿宋_GB2312"/>
          <w:b w:val="0"/>
          <w:i w:val="0"/>
          <w:caps w:val="0"/>
          <w:spacing w:val="0"/>
          <w:sz w:val="32"/>
          <w:szCs w:val="32"/>
          <w:shd w:val="clear" w:color="auto" w:fill="FFFFFF"/>
          <w:lang w:eastAsia="zh-CN"/>
        </w:rPr>
        <w:t>不超过一次。对于安全生产标准化一级企业或三年以上未发生事故等守法守信的重点检查企业，可纳入执法抽查。检查频次设定之外的监督检查需经单位主要负责人审核，并报本级人民政府批准后实施</w:t>
      </w:r>
      <w:r>
        <w:rPr>
          <w:rFonts w:hint="eastAsia" w:ascii="仿宋_GB2312" w:hAnsi="仿宋_GB2312" w:eastAsia="仿宋_GB2312" w:cs="仿宋_GB2312"/>
          <w:b w:val="0"/>
          <w:i w:val="0"/>
          <w:caps w:val="0"/>
          <w:spacing w:val="0"/>
          <w:sz w:val="32"/>
          <w:szCs w:val="32"/>
          <w:shd w:val="clear" w:color="auto" w:fill="FFFFFF"/>
          <w:lang w:val="zh-CN" w:eastAsia="zh-CN"/>
        </w:rPr>
        <w:t>。</w:t>
      </w:r>
    </w:p>
    <w:p w14:paraId="3DAC0B65">
      <w:pPr>
        <w:keepNext w:val="0"/>
        <w:keepLines w:val="0"/>
        <w:pageBreakBefore w:val="0"/>
        <w:widowControl w:val="0"/>
        <w:kinsoku/>
        <w:wordWrap/>
        <w:overflowPunct/>
        <w:topLinePunct w:val="0"/>
        <w:autoSpaceDE/>
        <w:autoSpaceDN/>
        <w:bidi w:val="0"/>
        <w:adjustRightInd w:val="0"/>
        <w:snapToGrid w:val="0"/>
        <w:spacing w:line="606" w:lineRule="exact"/>
        <w:ind w:right="0" w:firstLine="643" w:firstLineChars="200"/>
        <w:textAlignment w:val="auto"/>
        <w:rPr>
          <w:rFonts w:hint="eastAsia" w:ascii="Times New Roman" w:hAnsi="Times New Roman" w:eastAsia="仿宋_GB2312" w:cs="仿宋_GB2312"/>
          <w:sz w:val="32"/>
          <w:szCs w:val="32"/>
          <w:lang w:val="zh-CN"/>
        </w:rPr>
      </w:pPr>
      <w:r>
        <w:rPr>
          <w:rFonts w:hint="eastAsia" w:eastAsia="楷体_GB2312" w:cs="楷体_GB2312"/>
          <w:b/>
          <w:bCs/>
          <w:sz w:val="32"/>
          <w:szCs w:val="32"/>
          <w:lang w:eastAsia="zh-CN"/>
        </w:rPr>
        <w:t>（四）</w:t>
      </w:r>
      <w:r>
        <w:rPr>
          <w:rFonts w:hint="eastAsia" w:ascii="Times New Roman" w:hAnsi="Times New Roman" w:eastAsia="楷体_GB2312" w:cs="楷体_GB2312"/>
          <w:b/>
          <w:bCs/>
          <w:sz w:val="32"/>
          <w:szCs w:val="32"/>
        </w:rPr>
        <w:t>加强重大案件查处。</w:t>
      </w:r>
      <w:r>
        <w:rPr>
          <w:rFonts w:hint="eastAsia" w:ascii="仿宋_GB2312" w:hAnsi="仿宋_GB2312" w:eastAsia="仿宋_GB2312" w:cs="仿宋_GB2312"/>
          <w:b w:val="0"/>
          <w:bCs w:val="0"/>
          <w:kern w:val="0"/>
          <w:sz w:val="32"/>
          <w:szCs w:val="32"/>
          <w:lang w:eastAsia="zh-CN"/>
        </w:rPr>
        <w:t>深化安全生产治本攻坚三年行动，</w:t>
      </w:r>
      <w:r>
        <w:rPr>
          <w:rFonts w:hint="eastAsia" w:ascii="仿宋_GB2312" w:hAnsi="仿宋_GB2312" w:eastAsia="仿宋_GB2312" w:cs="仿宋_GB2312"/>
          <w:sz w:val="32"/>
          <w:szCs w:val="32"/>
          <w:shd w:val="clear" w:color="auto" w:fill="FFFFFF"/>
          <w:lang w:val="zh-CN"/>
        </w:rPr>
        <w:t>强力推动“</w:t>
      </w:r>
      <w:r>
        <w:rPr>
          <w:rFonts w:hint="eastAsia" w:ascii="仿宋_GB2312" w:hAnsi="仿宋_GB2312" w:eastAsia="仿宋_GB2312" w:cs="仿宋_GB2312"/>
          <w:sz w:val="32"/>
          <w:szCs w:val="32"/>
          <w:lang w:val="zh-CN"/>
        </w:rPr>
        <w:t>打非治违”</w:t>
      </w:r>
      <w:r>
        <w:rPr>
          <w:rFonts w:hint="eastAsia" w:ascii="仿宋_GB2312" w:hAnsi="仿宋_GB2312" w:eastAsia="仿宋_GB2312" w:cs="仿宋_GB2312"/>
          <w:sz w:val="32"/>
          <w:szCs w:val="32"/>
          <w:shd w:val="clear" w:color="auto" w:fill="FFFFFF"/>
          <w:lang w:val="zh-CN"/>
        </w:rPr>
        <w:t>，依法组织查办辖区内重大案件、重大事故隐患举报案件、重大事故处罚案件和跨</w:t>
      </w:r>
      <w:r>
        <w:rPr>
          <w:rFonts w:hint="eastAsia" w:ascii="仿宋_GB2312" w:hAnsi="仿宋_GB2312" w:eastAsia="仿宋_GB2312" w:cs="仿宋_GB2312"/>
          <w:sz w:val="32"/>
          <w:szCs w:val="32"/>
          <w:shd w:val="clear" w:color="auto" w:fill="FFFFFF"/>
          <w:lang w:val="en-US" w:eastAsia="zh-CN"/>
        </w:rPr>
        <w:t>地区</w:t>
      </w:r>
      <w:r>
        <w:rPr>
          <w:rFonts w:hint="eastAsia" w:ascii="仿宋_GB2312" w:hAnsi="仿宋_GB2312" w:eastAsia="仿宋_GB2312" w:cs="仿宋_GB2312"/>
          <w:sz w:val="32"/>
          <w:szCs w:val="32"/>
          <w:shd w:val="clear" w:color="auto" w:fill="FFFFFF"/>
          <w:lang w:val="zh-CN"/>
        </w:rPr>
        <w:t>案件，加大对重大事故隐患的查处，</w:t>
      </w:r>
      <w:r>
        <w:rPr>
          <w:rFonts w:hint="eastAsia" w:ascii="仿宋_GB2312" w:hAnsi="仿宋_GB2312" w:eastAsia="仿宋_GB2312" w:cs="仿宋_GB2312"/>
          <w:sz w:val="32"/>
          <w:szCs w:val="32"/>
          <w:lang w:val="zh-CN"/>
        </w:rPr>
        <w:t>依法</w:t>
      </w:r>
      <w:r>
        <w:rPr>
          <w:rFonts w:hint="eastAsia" w:ascii="Times New Roman" w:hAnsi="Times New Roman" w:eastAsia="仿宋_GB2312" w:cs="仿宋_GB2312"/>
          <w:sz w:val="32"/>
          <w:szCs w:val="32"/>
          <w:lang w:val="zh-CN"/>
        </w:rPr>
        <w:t>高质量</w:t>
      </w:r>
      <w:r>
        <w:rPr>
          <w:rFonts w:hint="eastAsia" w:ascii="仿宋_GB2312" w:hAnsi="仿宋_GB2312" w:eastAsia="仿宋_GB2312" w:cs="仿宋_GB2312"/>
          <w:sz w:val="32"/>
          <w:szCs w:val="32"/>
          <w:lang w:val="zh-CN"/>
        </w:rPr>
        <w:t>推进“行刑衔接”。</w:t>
      </w:r>
    </w:p>
    <w:p w14:paraId="481F6C4B">
      <w:pPr>
        <w:pStyle w:val="12"/>
        <w:keepNext w:val="0"/>
        <w:keepLines w:val="0"/>
        <w:pageBreakBefore w:val="0"/>
        <w:wordWrap/>
        <w:overflowPunct/>
        <w:bidi w:val="0"/>
        <w:snapToGrid w:val="0"/>
        <w:spacing w:line="600" w:lineRule="exact"/>
        <w:ind w:right="0" w:firstLine="640" w:firstLineChars="200"/>
        <w:jc w:val="both"/>
        <w:rPr>
          <w:rFonts w:ascii="Times New Roman" w:hAnsi="Times New Roman" w:eastAsia="仿宋_GB2312"/>
          <w:color w:val="auto"/>
          <w:sz w:val="32"/>
          <w:szCs w:val="32"/>
          <w:lang w:val="zh-CN"/>
        </w:rPr>
      </w:pPr>
      <w:r>
        <w:rPr>
          <w:rFonts w:hint="eastAsia" w:ascii="Times New Roman" w:hAnsi="Times New Roman" w:eastAsia="黑体"/>
          <w:color w:val="auto"/>
          <w:sz w:val="32"/>
          <w:szCs w:val="32"/>
          <w:lang w:val="zh-CN"/>
        </w:rPr>
        <w:t>二</w:t>
      </w:r>
      <w:r>
        <w:rPr>
          <w:rFonts w:ascii="Times New Roman" w:hAnsi="Times New Roman" w:eastAsia="黑体"/>
          <w:color w:val="auto"/>
          <w:sz w:val="32"/>
          <w:szCs w:val="32"/>
          <w:lang w:val="zh-CN"/>
        </w:rPr>
        <w:t>、监督检查重点内容</w:t>
      </w:r>
    </w:p>
    <w:p w14:paraId="0657F6F8">
      <w:pPr>
        <w:keepNext w:val="0"/>
        <w:keepLines w:val="0"/>
        <w:pageBreakBefore w:val="0"/>
        <w:widowControl w:val="0"/>
        <w:kinsoku/>
        <w:wordWrap w:val="0"/>
        <w:overflowPunct w:val="0"/>
        <w:topLinePunct/>
        <w:bidi w:val="0"/>
        <w:adjustRightInd w:val="0"/>
        <w:snapToGrid w:val="0"/>
        <w:spacing w:line="570" w:lineRule="exact"/>
        <w:ind w:right="0" w:firstLine="640" w:firstLineChars="200"/>
        <w:textAlignment w:val="auto"/>
        <w:rPr>
          <w:rFonts w:eastAsia="仿宋_GB2312"/>
          <w:bCs/>
          <w:kern w:val="0"/>
          <w:sz w:val="32"/>
          <w:szCs w:val="32"/>
        </w:rPr>
      </w:pPr>
      <w:r>
        <w:rPr>
          <w:rFonts w:hint="default" w:ascii="Times New Roman" w:hAnsi="Times New Roman" w:eastAsia="仿宋_GB2312" w:cs="Times New Roman"/>
          <w:color w:val="000000" w:themeColor="text1"/>
          <w:sz w:val="32"/>
          <w:szCs w:val="32"/>
          <w14:textFill>
            <w14:solidFill>
              <w14:schemeClr w14:val="tx1"/>
            </w14:solidFill>
          </w14:textFill>
        </w:rPr>
        <w:t>依法取得有关资质证照情况；</w:t>
      </w:r>
      <w:r>
        <w:rPr>
          <w:rFonts w:hint="default" w:ascii="Times New Roman" w:hAnsi="Times New Roman" w:eastAsia="仿宋_GB2312" w:cs="Times New Roman"/>
          <w:color w:val="000000" w:themeColor="text1"/>
          <w:sz w:val="32"/>
          <w:szCs w:val="32"/>
          <w:lang w:val="zh-CN"/>
          <w14:textFill>
            <w14:solidFill>
              <w14:schemeClr w14:val="tx1"/>
            </w14:solidFill>
          </w14:textFill>
        </w:rPr>
        <w:t>安全生产责任制落实情况；安全风险分级管控和隐患排查治理情况；</w:t>
      </w:r>
      <w:r>
        <w:rPr>
          <w:rFonts w:hint="eastAsia" w:eastAsia="仿宋_GB2312" w:cs="Times New Roman"/>
          <w:color w:val="000000" w:themeColor="text1"/>
          <w:sz w:val="32"/>
          <w:szCs w:val="32"/>
          <w:lang w:val="zh-CN"/>
          <w14:textFill>
            <w14:solidFill>
              <w14:schemeClr w14:val="tx1"/>
            </w14:solidFill>
          </w14:textFill>
        </w:rPr>
        <w:t>企业主要负责人及从业人员履职情况；</w:t>
      </w:r>
      <w:r>
        <w:rPr>
          <w:rFonts w:hint="default" w:ascii="Times New Roman" w:hAnsi="Times New Roman" w:eastAsia="仿宋_GB2312" w:cs="Times New Roman"/>
          <w:color w:val="000000" w:themeColor="text1"/>
          <w:sz w:val="32"/>
          <w:szCs w:val="32"/>
          <w14:textFill>
            <w14:solidFill>
              <w14:schemeClr w14:val="tx1"/>
            </w14:solidFill>
          </w14:textFill>
        </w:rPr>
        <w:t>安全生产教育培训落实情况；</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动火作业</w:t>
      </w:r>
      <w:r>
        <w:rPr>
          <w:rFonts w:hint="default" w:ascii="Times New Roman" w:hAnsi="Times New Roman" w:eastAsia="仿宋_GB2312" w:cs="Times New Roman"/>
          <w:color w:val="000000" w:themeColor="text1"/>
          <w:sz w:val="32"/>
          <w:szCs w:val="32"/>
          <w14:textFill>
            <w14:solidFill>
              <w14:schemeClr w14:val="tx1"/>
            </w14:solidFill>
          </w14:textFill>
        </w:rPr>
        <w:t>安全管理及</w:t>
      </w:r>
      <w:r>
        <w:rPr>
          <w:rFonts w:hint="default" w:ascii="Times New Roman" w:hAnsi="Times New Roman" w:eastAsia="仿宋_GB2312" w:cs="Times New Roman"/>
          <w:color w:val="000000" w:themeColor="text1"/>
          <w:sz w:val="32"/>
          <w:szCs w:val="32"/>
          <w:lang w:val="zh-CN"/>
          <w14:textFill>
            <w14:solidFill>
              <w14:schemeClr w14:val="tx1"/>
            </w14:solidFill>
          </w14:textFill>
        </w:rPr>
        <w:t>“一会三卡”落实情况</w:t>
      </w:r>
      <w:r>
        <w:rPr>
          <w:rFonts w:hint="default" w:ascii="Times New Roman" w:hAnsi="Times New Roman" w:eastAsia="仿宋_GB2312" w:cs="Times New Roman"/>
          <w:color w:val="000000" w:themeColor="text1"/>
          <w:sz w:val="32"/>
          <w:szCs w:val="32"/>
          <w14:textFill>
            <w14:solidFill>
              <w14:schemeClr w14:val="tx1"/>
            </w14:solidFill>
          </w14:textFill>
        </w:rPr>
        <w:t>；按照国家规定提取和使用安全生产费用情况；取得安全生产许可后的保持安全生产条件情况；应急</w:t>
      </w:r>
      <w:r>
        <w:rPr>
          <w:rFonts w:hint="default" w:ascii="Times New Roman" w:hAnsi="Times New Roman" w:eastAsia="仿宋_GB2312" w:cs="Times New Roman"/>
          <w:color w:val="000000" w:themeColor="text1"/>
          <w:sz w:val="32"/>
          <w:szCs w:val="32"/>
          <w:lang w:val="zh-CN"/>
          <w14:textFill>
            <w14:solidFill>
              <w14:schemeClr w14:val="tx1"/>
            </w14:solidFill>
          </w14:textFill>
        </w:rPr>
        <w:t>预案编制及实施情况等。</w:t>
      </w:r>
    </w:p>
    <w:p w14:paraId="42C00114">
      <w:pPr>
        <w:keepNext w:val="0"/>
        <w:keepLines w:val="0"/>
        <w:pageBreakBefore w:val="0"/>
        <w:wordWrap/>
        <w:overflowPunct/>
        <w:bidi w:val="0"/>
        <w:adjustRightInd w:val="0"/>
        <w:snapToGrid w:val="0"/>
        <w:spacing w:line="600" w:lineRule="exact"/>
        <w:ind w:right="0" w:firstLine="640" w:firstLineChars="200"/>
        <w:outlineLvl w:val="1"/>
        <w:rPr>
          <w:rFonts w:eastAsia="黑体"/>
          <w:sz w:val="32"/>
          <w:szCs w:val="32"/>
        </w:rPr>
      </w:pPr>
      <w:r>
        <w:rPr>
          <w:rFonts w:hint="eastAsia" w:eastAsia="黑体"/>
          <w:sz w:val="32"/>
          <w:szCs w:val="32"/>
          <w:lang w:eastAsia="zh-CN"/>
        </w:rPr>
        <w:t>三</w:t>
      </w:r>
      <w:r>
        <w:rPr>
          <w:rFonts w:eastAsia="黑体"/>
          <w:sz w:val="32"/>
          <w:szCs w:val="32"/>
        </w:rPr>
        <w:t>、案件办理要求</w:t>
      </w:r>
    </w:p>
    <w:p w14:paraId="1A45A528">
      <w:pPr>
        <w:keepNext w:val="0"/>
        <w:keepLines w:val="0"/>
        <w:pageBreakBefore w:val="0"/>
        <w:wordWrap/>
        <w:overflowPunct/>
        <w:bidi w:val="0"/>
        <w:adjustRightInd w:val="0"/>
        <w:snapToGrid w:val="0"/>
        <w:spacing w:line="600" w:lineRule="exact"/>
        <w:ind w:right="0" w:firstLine="640" w:firstLineChars="200"/>
        <w:rPr>
          <w:rFonts w:eastAsia="仿宋_GB2312"/>
          <w:sz w:val="32"/>
          <w:szCs w:val="32"/>
          <w:lang w:val="zh-CN"/>
        </w:rPr>
      </w:pPr>
      <w:r>
        <w:rPr>
          <w:rFonts w:eastAsia="仿宋_GB2312"/>
          <w:sz w:val="32"/>
          <w:szCs w:val="32"/>
          <w:lang w:val="zh-CN"/>
        </w:rPr>
        <w:t>严格遵守安全生产法律法规的有关规定，</w:t>
      </w:r>
      <w:r>
        <w:rPr>
          <w:rFonts w:hint="eastAsia" w:eastAsia="仿宋_GB2312"/>
          <w:sz w:val="32"/>
          <w:szCs w:val="32"/>
          <w:lang w:val="zh-CN"/>
        </w:rPr>
        <w:t>认真落实</w:t>
      </w:r>
      <w:r>
        <w:rPr>
          <w:rFonts w:eastAsia="仿宋_GB2312"/>
          <w:sz w:val="32"/>
          <w:szCs w:val="32"/>
          <w:lang w:val="zh-CN"/>
        </w:rPr>
        <w:t>行政执法公示、全过程记录和重大行政执法决定法制审核三项制度</w:t>
      </w:r>
      <w:r>
        <w:rPr>
          <w:rFonts w:hint="eastAsia" w:eastAsia="仿宋_GB2312"/>
          <w:sz w:val="32"/>
          <w:szCs w:val="32"/>
          <w:lang w:val="zh-CN"/>
        </w:rPr>
        <w:t>，以及</w:t>
      </w:r>
      <w:r>
        <w:rPr>
          <w:rFonts w:hint="eastAsia" w:ascii="仿宋_GB2312" w:hAnsi="仿宋_GB2312" w:eastAsia="仿宋_GB2312" w:cs="仿宋_GB2312"/>
          <w:i w:val="0"/>
          <w:caps w:val="0"/>
          <w:color w:val="000000"/>
          <w:spacing w:val="0"/>
          <w:sz w:val="32"/>
          <w:szCs w:val="32"/>
        </w:rPr>
        <w:t>实行涉企执法检查扫码登记制度</w:t>
      </w:r>
      <w:r>
        <w:rPr>
          <w:rFonts w:hint="eastAsia" w:ascii="仿宋_GB2312" w:hAnsi="仿宋_GB2312" w:eastAsia="仿宋_GB2312" w:cs="仿宋_GB2312"/>
          <w:i w:val="0"/>
          <w:caps w:val="0"/>
          <w:color w:val="000000"/>
          <w:spacing w:val="0"/>
          <w:sz w:val="32"/>
          <w:szCs w:val="32"/>
          <w:lang w:eastAsia="zh-CN"/>
        </w:rPr>
        <w:t>。坚持依法执法，</w:t>
      </w:r>
      <w:r>
        <w:rPr>
          <w:rFonts w:eastAsia="仿宋_GB2312"/>
          <w:sz w:val="32"/>
          <w:szCs w:val="32"/>
          <w:lang w:val="zh-CN"/>
        </w:rPr>
        <w:t>严格规范立案、调查取证、法制审核案件审理、告知、决定等</w:t>
      </w:r>
      <w:r>
        <w:rPr>
          <w:rFonts w:hint="eastAsia" w:eastAsia="仿宋_GB2312"/>
          <w:sz w:val="32"/>
          <w:szCs w:val="32"/>
          <w:lang w:val="zh-CN"/>
        </w:rPr>
        <w:t>法定</w:t>
      </w:r>
      <w:r>
        <w:rPr>
          <w:rFonts w:eastAsia="仿宋_GB2312"/>
          <w:sz w:val="32"/>
          <w:szCs w:val="32"/>
          <w:lang w:val="zh-CN"/>
        </w:rPr>
        <w:t>程序</w:t>
      </w:r>
      <w:r>
        <w:rPr>
          <w:rFonts w:hint="eastAsia" w:eastAsia="仿宋_GB2312"/>
          <w:sz w:val="32"/>
          <w:szCs w:val="32"/>
          <w:lang w:val="zh-CN"/>
        </w:rPr>
        <w:t>。要</w:t>
      </w:r>
      <w:r>
        <w:rPr>
          <w:rFonts w:eastAsia="仿宋_GB2312"/>
          <w:sz w:val="32"/>
          <w:szCs w:val="32"/>
          <w:lang w:val="zh-CN"/>
        </w:rPr>
        <w:t>全面应用</w:t>
      </w:r>
      <w:r>
        <w:rPr>
          <w:rFonts w:hint="eastAsia" w:eastAsia="仿宋_GB2312"/>
          <w:sz w:val="32"/>
          <w:szCs w:val="32"/>
          <w:lang w:val="zh-CN"/>
        </w:rPr>
        <w:t>湖南省安全生产行政执法</w:t>
      </w:r>
      <w:r>
        <w:rPr>
          <w:rFonts w:eastAsia="仿宋_GB2312"/>
          <w:sz w:val="32"/>
          <w:szCs w:val="32"/>
          <w:lang w:val="zh-CN"/>
        </w:rPr>
        <w:t>系统</w:t>
      </w:r>
      <w:r>
        <w:rPr>
          <w:rFonts w:hint="eastAsia" w:eastAsia="仿宋_GB2312"/>
          <w:sz w:val="32"/>
          <w:szCs w:val="32"/>
          <w:lang w:val="zh-CN"/>
        </w:rPr>
        <w:t>，对执法活动实施全过程、全时段监督，有效防范执法违法问题</w:t>
      </w:r>
      <w:r>
        <w:rPr>
          <w:rFonts w:eastAsia="仿宋_GB2312"/>
          <w:sz w:val="32"/>
          <w:szCs w:val="32"/>
          <w:lang w:val="zh-CN"/>
        </w:rPr>
        <w:t>。</w:t>
      </w:r>
    </w:p>
    <w:p w14:paraId="4228C7E1">
      <w:pPr>
        <w:keepNext w:val="0"/>
        <w:keepLines w:val="0"/>
        <w:pageBreakBefore w:val="0"/>
        <w:wordWrap/>
        <w:overflowPunct/>
        <w:bidi w:val="0"/>
        <w:adjustRightInd w:val="0"/>
        <w:snapToGrid w:val="0"/>
        <w:spacing w:line="600" w:lineRule="exact"/>
        <w:ind w:right="0" w:firstLine="640" w:firstLineChars="200"/>
        <w:outlineLvl w:val="1"/>
        <w:rPr>
          <w:rFonts w:eastAsia="黑体"/>
          <w:sz w:val="32"/>
          <w:szCs w:val="32"/>
        </w:rPr>
      </w:pPr>
      <w:r>
        <w:rPr>
          <w:rFonts w:hint="eastAsia" w:eastAsia="黑体"/>
          <w:sz w:val="32"/>
          <w:szCs w:val="32"/>
          <w:lang w:eastAsia="zh-CN"/>
        </w:rPr>
        <w:t>四</w:t>
      </w:r>
      <w:r>
        <w:rPr>
          <w:rFonts w:eastAsia="黑体"/>
          <w:sz w:val="32"/>
          <w:szCs w:val="32"/>
        </w:rPr>
        <w:t>、工作要求</w:t>
      </w:r>
    </w:p>
    <w:p w14:paraId="77FA07B6">
      <w:pPr>
        <w:keepNext w:val="0"/>
        <w:keepLines w:val="0"/>
        <w:pageBreakBefore w:val="0"/>
        <w:wordWrap/>
        <w:overflowPunct/>
        <w:bidi w:val="0"/>
        <w:adjustRightInd w:val="0"/>
        <w:snapToGrid w:val="0"/>
        <w:spacing w:line="600" w:lineRule="exact"/>
        <w:ind w:right="0" w:firstLine="643" w:firstLineChars="200"/>
        <w:rPr>
          <w:rFonts w:eastAsia="仿宋_GB2312"/>
          <w:sz w:val="32"/>
          <w:szCs w:val="32"/>
        </w:rPr>
      </w:pPr>
      <w:r>
        <w:rPr>
          <w:rFonts w:eastAsia="楷体_GB2312"/>
          <w:b/>
          <w:bCs/>
          <w:sz w:val="32"/>
          <w:szCs w:val="32"/>
        </w:rPr>
        <w:t>（一）加强组织领导。</w:t>
      </w:r>
      <w:r>
        <w:rPr>
          <w:rFonts w:eastAsia="仿宋_GB2312"/>
          <w:sz w:val="32"/>
          <w:szCs w:val="32"/>
        </w:rPr>
        <w:t>实施年度安全生产监督检查计划是应急管理部门依法履行安全监管职责的重要举措，</w:t>
      </w:r>
      <w:r>
        <w:rPr>
          <w:rFonts w:hint="eastAsia" w:eastAsia="仿宋_GB2312"/>
          <w:sz w:val="32"/>
          <w:szCs w:val="32"/>
          <w:lang w:eastAsia="zh-CN"/>
        </w:rPr>
        <w:t>局</w:t>
      </w:r>
      <w:r>
        <w:rPr>
          <w:rFonts w:eastAsia="仿宋_GB2312"/>
          <w:sz w:val="32"/>
          <w:szCs w:val="32"/>
        </w:rPr>
        <w:t>机关各</w:t>
      </w:r>
      <w:r>
        <w:rPr>
          <w:rFonts w:hint="eastAsia" w:eastAsia="仿宋_GB2312"/>
          <w:sz w:val="32"/>
          <w:szCs w:val="32"/>
          <w:lang w:eastAsia="zh-CN"/>
        </w:rPr>
        <w:t>相关科室</w:t>
      </w:r>
      <w:r>
        <w:rPr>
          <w:rFonts w:eastAsia="仿宋_GB2312"/>
          <w:sz w:val="32"/>
          <w:szCs w:val="32"/>
        </w:rPr>
        <w:t>务必将思想统一到</w:t>
      </w:r>
      <w:r>
        <w:rPr>
          <w:rFonts w:hint="eastAsia" w:eastAsia="仿宋_GB2312"/>
          <w:sz w:val="32"/>
          <w:szCs w:val="32"/>
          <w:lang w:eastAsia="zh-CN"/>
        </w:rPr>
        <w:t>局</w:t>
      </w:r>
      <w:r>
        <w:rPr>
          <w:rFonts w:eastAsia="仿宋_GB2312"/>
          <w:sz w:val="32"/>
          <w:szCs w:val="32"/>
        </w:rPr>
        <w:t>党委</w:t>
      </w:r>
      <w:r>
        <w:rPr>
          <w:rFonts w:eastAsia="仿宋_GB2312"/>
          <w:sz w:val="32"/>
          <w:szCs w:val="32"/>
          <w:lang w:val="zh-CN"/>
        </w:rPr>
        <w:t>的决策部署上来，</w:t>
      </w:r>
      <w:r>
        <w:rPr>
          <w:rFonts w:hint="eastAsia" w:eastAsia="仿宋_GB2312"/>
          <w:sz w:val="32"/>
          <w:szCs w:val="32"/>
          <w:lang w:val="zh-CN"/>
        </w:rPr>
        <w:t>以提升企业安全本质水平，防范生产安全事故发生为着力点，</w:t>
      </w:r>
      <w:r>
        <w:rPr>
          <w:rFonts w:eastAsia="仿宋_GB2312"/>
          <w:sz w:val="32"/>
          <w:szCs w:val="32"/>
          <w:lang w:val="zh-CN"/>
        </w:rPr>
        <w:t>高标准、高质量</w:t>
      </w:r>
      <w:r>
        <w:rPr>
          <w:rFonts w:hint="eastAsia" w:eastAsia="仿宋_GB2312"/>
          <w:sz w:val="32"/>
          <w:szCs w:val="32"/>
          <w:lang w:val="zh-CN"/>
        </w:rPr>
        <w:t>、高成效</w:t>
      </w:r>
      <w:r>
        <w:rPr>
          <w:rFonts w:eastAsia="仿宋_GB2312"/>
          <w:sz w:val="32"/>
          <w:szCs w:val="32"/>
          <w:lang w:val="zh-CN"/>
        </w:rPr>
        <w:t>抓好年度监督检查计划的落实，</w:t>
      </w:r>
      <w:r>
        <w:rPr>
          <w:rFonts w:hint="eastAsia" w:ascii="仿宋_GB2312" w:hAnsi="仿宋_GB2312" w:eastAsia="仿宋_GB2312" w:cs="仿宋_GB2312"/>
          <w:sz w:val="32"/>
          <w:szCs w:val="32"/>
          <w:lang w:val="zh-CN"/>
        </w:rPr>
        <w:t>为稳固实现“三坚决两确保”工作目标提</w:t>
      </w:r>
      <w:r>
        <w:rPr>
          <w:rFonts w:eastAsia="仿宋_GB2312"/>
          <w:sz w:val="32"/>
          <w:szCs w:val="32"/>
          <w:lang w:val="zh-CN"/>
        </w:rPr>
        <w:t>供强力支撑</w:t>
      </w:r>
      <w:r>
        <w:rPr>
          <w:rFonts w:eastAsia="仿宋_GB2312"/>
          <w:sz w:val="32"/>
          <w:szCs w:val="32"/>
        </w:rPr>
        <w:t>。</w:t>
      </w:r>
    </w:p>
    <w:p w14:paraId="1B3DBF54">
      <w:pPr>
        <w:keepNext w:val="0"/>
        <w:keepLines w:val="0"/>
        <w:pageBreakBefore w:val="0"/>
        <w:wordWrap/>
        <w:overflowPunct/>
        <w:bidi w:val="0"/>
        <w:adjustRightInd w:val="0"/>
        <w:snapToGrid w:val="0"/>
        <w:spacing w:line="600" w:lineRule="exact"/>
        <w:ind w:right="0" w:firstLine="643" w:firstLineChars="200"/>
        <w:rPr>
          <w:rFonts w:eastAsia="仿宋_GB2312"/>
          <w:sz w:val="32"/>
          <w:szCs w:val="32"/>
        </w:rPr>
      </w:pPr>
      <w:r>
        <w:rPr>
          <w:rFonts w:eastAsia="楷体_GB2312"/>
          <w:b/>
          <w:bCs/>
          <w:sz w:val="32"/>
          <w:szCs w:val="32"/>
        </w:rPr>
        <w:t>（二）严格执法程序。</w:t>
      </w:r>
      <w:r>
        <w:rPr>
          <w:rFonts w:eastAsia="仿宋_GB2312"/>
          <w:sz w:val="32"/>
          <w:szCs w:val="32"/>
          <w:lang w:val="zh-CN"/>
        </w:rPr>
        <w:t>严格依据安全生产相关法律法规和裁量权基准开展执法活动，全面规范行政执法程序。认真贯彻落实《安全生产行政执法规范用语指引》要求，做到严格执法、规范执法、公正执法、文明执法。</w:t>
      </w:r>
    </w:p>
    <w:p w14:paraId="4179DF32">
      <w:pPr>
        <w:keepNext w:val="0"/>
        <w:keepLines w:val="0"/>
        <w:pageBreakBefore w:val="0"/>
        <w:wordWrap/>
        <w:overflowPunct/>
        <w:bidi w:val="0"/>
        <w:adjustRightInd w:val="0"/>
        <w:snapToGrid w:val="0"/>
        <w:spacing w:line="600" w:lineRule="exact"/>
        <w:ind w:right="0" w:firstLine="643" w:firstLineChars="200"/>
        <w:rPr>
          <w:rFonts w:eastAsia="仿宋_GB2312"/>
          <w:sz w:val="32"/>
          <w:szCs w:val="32"/>
        </w:rPr>
      </w:pPr>
      <w:r>
        <w:rPr>
          <w:rFonts w:eastAsia="楷体_GB2312"/>
          <w:b/>
          <w:bCs/>
          <w:sz w:val="32"/>
          <w:szCs w:val="32"/>
        </w:rPr>
        <w:t>（三）以执法促普法。</w:t>
      </w:r>
      <w:r>
        <w:rPr>
          <w:rFonts w:eastAsia="仿宋_GB2312"/>
          <w:sz w:val="32"/>
          <w:szCs w:val="32"/>
          <w:lang w:val="en"/>
        </w:rPr>
        <w:t>坚持精准执法、精准普法，抓住企业主要负责人这个关键少数和从业人员关键岗位，推行“说理式”执法，将每一次执法检查作为一次普法宣传的过程，</w:t>
      </w:r>
      <w:r>
        <w:rPr>
          <w:rFonts w:eastAsia="仿宋_GB2312"/>
          <w:sz w:val="32"/>
          <w:szCs w:val="32"/>
        </w:rPr>
        <w:t>督促企业扎实开展安全生产法律法规教育</w:t>
      </w:r>
      <w:r>
        <w:rPr>
          <w:rFonts w:hint="eastAsia" w:eastAsia="仿宋_GB2312"/>
          <w:sz w:val="32"/>
          <w:szCs w:val="32"/>
          <w:lang w:eastAsia="zh-CN"/>
        </w:rPr>
        <w:t>，全面推动全员安全生产责任制落实，以执法普法提升企业安全本质水平</w:t>
      </w:r>
      <w:r>
        <w:rPr>
          <w:rFonts w:eastAsia="仿宋_GB2312"/>
          <w:sz w:val="32"/>
          <w:szCs w:val="32"/>
        </w:rPr>
        <w:t>。</w:t>
      </w:r>
    </w:p>
    <w:p w14:paraId="7837C414">
      <w:pPr>
        <w:keepNext w:val="0"/>
        <w:keepLines w:val="0"/>
        <w:pageBreakBefore w:val="0"/>
        <w:wordWrap/>
        <w:overflowPunct/>
        <w:bidi w:val="0"/>
        <w:adjustRightInd w:val="0"/>
        <w:snapToGrid w:val="0"/>
        <w:spacing w:line="600" w:lineRule="exact"/>
        <w:ind w:right="0" w:firstLine="643" w:firstLineChars="200"/>
        <w:rPr>
          <w:rFonts w:eastAsia="仿宋_GB2312"/>
          <w:w w:val="97"/>
          <w:sz w:val="32"/>
          <w:szCs w:val="32"/>
        </w:rPr>
      </w:pPr>
      <w:r>
        <w:rPr>
          <w:rFonts w:eastAsia="楷体_GB2312"/>
          <w:b/>
          <w:bCs/>
          <w:sz w:val="32"/>
          <w:szCs w:val="32"/>
        </w:rPr>
        <w:t>（四）强化执法监督。</w:t>
      </w:r>
      <w:r>
        <w:rPr>
          <w:rFonts w:hint="eastAsia" w:ascii="Times New Roman" w:hAnsi="Times New Roman" w:eastAsia="仿宋_GB2312" w:cs="仿宋_GB2312"/>
          <w:sz w:val="32"/>
          <w:szCs w:val="32"/>
          <w:lang w:eastAsia="zh-CN"/>
        </w:rPr>
        <w:t>局</w:t>
      </w:r>
      <w:r>
        <w:rPr>
          <w:rFonts w:hint="eastAsia" w:ascii="Times New Roman" w:hAnsi="Times New Roman" w:eastAsia="仿宋_GB2312" w:cs="仿宋_GB2312"/>
          <w:sz w:val="32"/>
          <w:szCs w:val="32"/>
        </w:rPr>
        <w:t>各相关业务</w:t>
      </w:r>
      <w:r>
        <w:rPr>
          <w:rFonts w:hint="eastAsia" w:ascii="Times New Roman" w:hAnsi="Times New Roman" w:eastAsia="仿宋_GB2312" w:cs="仿宋_GB2312"/>
          <w:sz w:val="32"/>
          <w:szCs w:val="32"/>
          <w:lang w:eastAsia="zh-CN"/>
        </w:rPr>
        <w:t>科室</w:t>
      </w:r>
      <w:r>
        <w:rPr>
          <w:rFonts w:hint="eastAsia" w:ascii="Times New Roman" w:hAnsi="Times New Roman" w:eastAsia="仿宋_GB2312" w:cs="仿宋_GB2312"/>
          <w:kern w:val="0"/>
          <w:sz w:val="32"/>
          <w:szCs w:val="32"/>
        </w:rPr>
        <w:t>要监督指导各</w:t>
      </w:r>
      <w:r>
        <w:rPr>
          <w:rFonts w:hint="eastAsia" w:eastAsia="仿宋_GB2312" w:cs="仿宋_GB2312"/>
          <w:kern w:val="0"/>
          <w:sz w:val="32"/>
          <w:szCs w:val="32"/>
          <w:lang w:eastAsia="zh-CN"/>
        </w:rPr>
        <w:t>乡镇（街道）和园区</w:t>
      </w:r>
      <w:r>
        <w:rPr>
          <w:rFonts w:hint="eastAsia" w:ascii="Times New Roman" w:hAnsi="Times New Roman" w:eastAsia="仿宋_GB2312" w:cs="仿宋_GB2312"/>
          <w:kern w:val="0"/>
          <w:sz w:val="32"/>
          <w:szCs w:val="32"/>
        </w:rPr>
        <w:t>编制并实施</w:t>
      </w:r>
      <w:r>
        <w:rPr>
          <w:rFonts w:hint="eastAsia" w:ascii="Times New Roman" w:hAnsi="Times New Roman" w:eastAsia="仿宋_GB2312" w:cs="仿宋_GB2312"/>
          <w:kern w:val="0"/>
          <w:sz w:val="32"/>
          <w:szCs w:val="32"/>
          <w:lang w:eastAsia="zh-CN"/>
        </w:rPr>
        <w:t>监督检查</w:t>
      </w:r>
      <w:r>
        <w:rPr>
          <w:rFonts w:hint="eastAsia" w:ascii="Times New Roman" w:hAnsi="Times New Roman" w:eastAsia="仿宋_GB2312" w:cs="仿宋_GB2312"/>
          <w:kern w:val="0"/>
          <w:sz w:val="32"/>
          <w:szCs w:val="32"/>
        </w:rPr>
        <w:t>计划，确保</w:t>
      </w:r>
      <w:r>
        <w:rPr>
          <w:rFonts w:hint="eastAsia" w:ascii="Times New Roman" w:hAnsi="Times New Roman" w:eastAsia="仿宋_GB2312" w:cs="仿宋_GB2312"/>
          <w:kern w:val="0"/>
          <w:sz w:val="32"/>
          <w:szCs w:val="32"/>
          <w:lang w:eastAsia="zh-CN"/>
        </w:rPr>
        <w:t>各级监督检查</w:t>
      </w:r>
      <w:r>
        <w:rPr>
          <w:rFonts w:hint="eastAsia" w:ascii="Times New Roman" w:hAnsi="Times New Roman" w:eastAsia="仿宋_GB2312" w:cs="仿宋_GB2312"/>
          <w:kern w:val="0"/>
          <w:sz w:val="32"/>
          <w:szCs w:val="32"/>
        </w:rPr>
        <w:t>计划有效对接，避免多头重复执法。</w:t>
      </w:r>
      <w:r>
        <w:rPr>
          <w:rFonts w:hint="eastAsia" w:eastAsia="仿宋_GB2312"/>
          <w:sz w:val="32"/>
          <w:szCs w:val="32"/>
          <w:lang w:eastAsia="zh-CN"/>
        </w:rPr>
        <w:t>法规审批科</w:t>
      </w:r>
      <w:r>
        <w:rPr>
          <w:rFonts w:eastAsia="仿宋_GB2312"/>
          <w:sz w:val="32"/>
          <w:szCs w:val="32"/>
        </w:rPr>
        <w:t>要加强对执法案</w:t>
      </w:r>
      <w:r>
        <w:rPr>
          <w:rFonts w:hint="eastAsia" w:eastAsia="仿宋_GB2312"/>
          <w:sz w:val="32"/>
          <w:szCs w:val="32"/>
        </w:rPr>
        <w:t>件</w:t>
      </w:r>
      <w:r>
        <w:rPr>
          <w:rFonts w:eastAsia="仿宋_GB2312"/>
          <w:sz w:val="32"/>
          <w:szCs w:val="32"/>
        </w:rPr>
        <w:t>的法制审查和质量评查，并</w:t>
      </w:r>
      <w:r>
        <w:rPr>
          <w:rFonts w:hint="eastAsia" w:eastAsia="仿宋_GB2312"/>
          <w:sz w:val="32"/>
          <w:szCs w:val="32"/>
          <w:lang w:val="en-US" w:eastAsia="zh-CN"/>
        </w:rPr>
        <w:t>监督</w:t>
      </w:r>
      <w:r>
        <w:rPr>
          <w:rFonts w:eastAsia="仿宋_GB2312"/>
          <w:sz w:val="32"/>
          <w:szCs w:val="32"/>
        </w:rPr>
        <w:t>公示</w:t>
      </w:r>
      <w:r>
        <w:rPr>
          <w:rFonts w:hint="eastAsia" w:eastAsia="仿宋_GB2312"/>
          <w:sz w:val="32"/>
          <w:szCs w:val="32"/>
          <w:lang w:val="en-US" w:eastAsia="zh-CN"/>
        </w:rPr>
        <w:t>情况</w:t>
      </w:r>
      <w:r>
        <w:rPr>
          <w:rFonts w:hint="eastAsia" w:eastAsia="仿宋_GB2312"/>
          <w:sz w:val="32"/>
          <w:szCs w:val="32"/>
          <w:lang w:eastAsia="zh-CN"/>
        </w:rPr>
        <w:t>；</w:t>
      </w:r>
      <w:r>
        <w:rPr>
          <w:rFonts w:eastAsia="仿宋_GB2312"/>
          <w:sz w:val="32"/>
          <w:szCs w:val="32"/>
        </w:rPr>
        <w:t>对各</w:t>
      </w:r>
      <w:r>
        <w:rPr>
          <w:rFonts w:hint="eastAsia" w:eastAsia="仿宋_GB2312"/>
          <w:sz w:val="32"/>
          <w:szCs w:val="32"/>
          <w:lang w:eastAsia="zh-CN"/>
        </w:rPr>
        <w:t>科室、园区、街镇</w:t>
      </w:r>
      <w:r>
        <w:rPr>
          <w:rFonts w:eastAsia="仿宋_GB2312"/>
          <w:sz w:val="32"/>
          <w:szCs w:val="32"/>
        </w:rPr>
        <w:t>执法案件</w:t>
      </w:r>
      <w:r>
        <w:rPr>
          <w:rFonts w:hint="eastAsia" w:eastAsia="仿宋_GB2312"/>
          <w:sz w:val="32"/>
          <w:szCs w:val="32"/>
          <w:lang w:val="en-US" w:eastAsia="zh-CN"/>
        </w:rPr>
        <w:t>适</w:t>
      </w:r>
      <w:r>
        <w:rPr>
          <w:rFonts w:hint="eastAsia" w:eastAsia="仿宋_GB2312"/>
          <w:sz w:val="32"/>
          <w:szCs w:val="32"/>
          <w:lang w:eastAsia="zh-CN"/>
        </w:rPr>
        <w:t>时开展线上、线下评查</w:t>
      </w:r>
      <w:r>
        <w:rPr>
          <w:rFonts w:eastAsia="仿宋_GB2312"/>
          <w:sz w:val="32"/>
          <w:szCs w:val="32"/>
        </w:rPr>
        <w:t>并通报。监督检查执法人员要主动接受</w:t>
      </w:r>
      <w:r>
        <w:rPr>
          <w:rFonts w:hint="eastAsia" w:eastAsia="仿宋_GB2312"/>
          <w:sz w:val="32"/>
          <w:szCs w:val="32"/>
          <w:lang w:val="en-US" w:eastAsia="zh-CN"/>
        </w:rPr>
        <w:t>驻局</w:t>
      </w:r>
      <w:r>
        <w:rPr>
          <w:rFonts w:eastAsia="仿宋_GB2312"/>
          <w:sz w:val="32"/>
          <w:szCs w:val="32"/>
        </w:rPr>
        <w:t>纪检监察组的执纪监督，严格执行党风廉政建</w:t>
      </w:r>
      <w:r>
        <w:rPr>
          <w:rFonts w:eastAsia="仿宋_GB2312"/>
          <w:w w:val="97"/>
          <w:sz w:val="32"/>
          <w:szCs w:val="32"/>
        </w:rPr>
        <w:t>设和作风建设相关规定，守住廉洁底线，</w:t>
      </w:r>
      <w:r>
        <w:rPr>
          <w:rFonts w:hint="eastAsia" w:eastAsia="仿宋_GB2312"/>
          <w:w w:val="97"/>
          <w:sz w:val="32"/>
          <w:szCs w:val="32"/>
          <w:lang w:eastAsia="zh-CN"/>
        </w:rPr>
        <w:t>推动</w:t>
      </w:r>
      <w:r>
        <w:rPr>
          <w:rFonts w:eastAsia="仿宋_GB2312"/>
          <w:w w:val="97"/>
          <w:sz w:val="32"/>
          <w:szCs w:val="32"/>
        </w:rPr>
        <w:t>执法</w:t>
      </w:r>
      <w:r>
        <w:rPr>
          <w:rFonts w:hint="eastAsia" w:eastAsia="仿宋_GB2312"/>
          <w:w w:val="97"/>
          <w:sz w:val="32"/>
          <w:szCs w:val="32"/>
        </w:rPr>
        <w:t>于</w:t>
      </w:r>
      <w:r>
        <w:rPr>
          <w:rFonts w:eastAsia="仿宋_GB2312"/>
          <w:w w:val="97"/>
          <w:sz w:val="32"/>
          <w:szCs w:val="32"/>
        </w:rPr>
        <w:t>服务</w:t>
      </w:r>
      <w:r>
        <w:rPr>
          <w:rFonts w:hint="eastAsia" w:eastAsia="仿宋_GB2312"/>
          <w:w w:val="97"/>
          <w:sz w:val="32"/>
          <w:szCs w:val="32"/>
          <w:lang w:eastAsia="zh-CN"/>
        </w:rPr>
        <w:t>有效融合</w:t>
      </w:r>
      <w:r>
        <w:rPr>
          <w:rFonts w:eastAsia="仿宋_GB2312"/>
          <w:w w:val="97"/>
          <w:sz w:val="32"/>
          <w:szCs w:val="32"/>
        </w:rPr>
        <w:t>。</w:t>
      </w:r>
    </w:p>
    <w:p w14:paraId="2DF516E0">
      <w:pPr>
        <w:keepNext w:val="0"/>
        <w:keepLines w:val="0"/>
        <w:pageBreakBefore w:val="0"/>
        <w:wordWrap/>
        <w:overflowPunct/>
        <w:bidi w:val="0"/>
        <w:adjustRightInd w:val="0"/>
        <w:snapToGrid w:val="0"/>
        <w:spacing w:line="600" w:lineRule="exact"/>
        <w:ind w:right="0" w:firstLine="640" w:firstLineChars="200"/>
        <w:rPr>
          <w:rFonts w:eastAsia="仿宋_GB2312"/>
          <w:sz w:val="32"/>
          <w:szCs w:val="32"/>
        </w:rPr>
      </w:pPr>
    </w:p>
    <w:p w14:paraId="41E2EE47">
      <w:pPr>
        <w:keepNext w:val="0"/>
        <w:keepLines w:val="0"/>
        <w:pageBreakBefore w:val="0"/>
        <w:wordWrap/>
        <w:overflowPunct/>
        <w:bidi w:val="0"/>
        <w:adjustRightInd w:val="0"/>
        <w:snapToGrid w:val="0"/>
        <w:spacing w:line="600" w:lineRule="exact"/>
        <w:ind w:right="0" w:firstLine="640" w:firstLineChars="200"/>
        <w:rPr>
          <w:rFonts w:ascii="Times New Roman" w:hAnsi="Times New Roman" w:eastAsia="仿宋_GB2312" w:cs="Times New Roman"/>
          <w:sz w:val="32"/>
          <w:szCs w:val="32"/>
          <w:lang w:val="en"/>
        </w:rPr>
      </w:pPr>
      <w:r>
        <w:rPr>
          <w:rFonts w:eastAsia="仿宋_GB2312"/>
          <w:sz w:val="32"/>
          <w:szCs w:val="32"/>
        </w:rPr>
        <w:t>附</w:t>
      </w:r>
      <w:r>
        <w:rPr>
          <w:rFonts w:ascii="Times New Roman" w:hAnsi="Times New Roman" w:eastAsia="仿宋_GB2312" w:cs="Times New Roman"/>
          <w:sz w:val="32"/>
          <w:szCs w:val="32"/>
          <w:lang w:val="en"/>
        </w:rPr>
        <w:t>件：</w:t>
      </w:r>
      <w:r>
        <w:rPr>
          <w:rFonts w:ascii="Times New Roman" w:hAnsi="Times New Roman" w:eastAsia="仿宋_GB2312" w:cs="Times New Roman"/>
          <w:sz w:val="32"/>
          <w:szCs w:val="32"/>
          <w:lang w:val="zh-CN"/>
        </w:rPr>
        <w:t>1.</w:t>
      </w:r>
      <w:r>
        <w:rPr>
          <w:rFonts w:hint="eastAsia" w:ascii="Times New Roman" w:hAnsi="Times New Roman" w:eastAsia="仿宋_GB2312" w:cs="Times New Roman"/>
          <w:sz w:val="32"/>
          <w:szCs w:val="32"/>
          <w:lang w:val="en-US" w:eastAsia="zh-CN"/>
        </w:rPr>
        <w:t>2025年</w:t>
      </w:r>
      <w:r>
        <w:rPr>
          <w:rFonts w:hint="eastAsia" w:eastAsia="仿宋_GB2312" w:cs="Times New Roman"/>
          <w:sz w:val="32"/>
          <w:szCs w:val="32"/>
          <w:lang w:val="en-US" w:eastAsia="zh-CN"/>
        </w:rPr>
        <w:t>度</w:t>
      </w:r>
      <w:r>
        <w:rPr>
          <w:rFonts w:hint="eastAsia" w:ascii="Times New Roman" w:hAnsi="Times New Roman" w:eastAsia="仿宋_GB2312" w:cs="Times New Roman"/>
          <w:sz w:val="32"/>
          <w:szCs w:val="32"/>
          <w:lang w:val="en-US" w:eastAsia="zh-CN"/>
        </w:rPr>
        <w:t>危险化学品和烟花爆竹行业</w:t>
      </w:r>
      <w:r>
        <w:rPr>
          <w:rFonts w:hint="eastAsia" w:eastAsia="仿宋_GB2312" w:cs="Times New Roman"/>
          <w:sz w:val="32"/>
          <w:szCs w:val="32"/>
          <w:lang w:val="en-US" w:eastAsia="zh-CN"/>
        </w:rPr>
        <w:t>监督检查</w:t>
      </w:r>
      <w:r>
        <w:rPr>
          <w:rFonts w:hint="eastAsia" w:ascii="Times New Roman" w:hAnsi="Times New Roman" w:eastAsia="仿宋_GB2312" w:cs="Times New Roman"/>
          <w:sz w:val="32"/>
          <w:szCs w:val="32"/>
          <w:lang w:val="en-US" w:eastAsia="zh-CN"/>
        </w:rPr>
        <w:t>计划</w:t>
      </w:r>
    </w:p>
    <w:p w14:paraId="3627611F">
      <w:pPr>
        <w:keepNext w:val="0"/>
        <w:keepLines w:val="0"/>
        <w:pageBreakBefore w:val="0"/>
        <w:numPr>
          <w:ilvl w:val="0"/>
          <w:numId w:val="0"/>
        </w:numPr>
        <w:wordWrap/>
        <w:overflowPunct/>
        <w:bidi w:val="0"/>
        <w:adjustRightInd w:val="0"/>
        <w:snapToGrid w:val="0"/>
        <w:spacing w:line="600" w:lineRule="exact"/>
        <w:ind w:right="0" w:rightChars="0" w:firstLine="1600" w:firstLineChars="500"/>
        <w:rPr>
          <w:rFonts w:eastAsia="仿宋_GB2312"/>
          <w:sz w:val="32"/>
          <w:szCs w:val="32"/>
          <w:lang w:val="zh-CN"/>
        </w:rPr>
      </w:pPr>
      <w:r>
        <w:rPr>
          <w:rFonts w:hint="eastAsia" w:eastAsia="仿宋_GB2312" w:cs="Times New Roman"/>
          <w:sz w:val="32"/>
          <w:szCs w:val="32"/>
          <w:lang w:val="en-US" w:eastAsia="zh-CN"/>
        </w:rPr>
        <w:t>2.</w:t>
      </w:r>
      <w:r>
        <w:rPr>
          <w:rFonts w:ascii="Times New Roman" w:hAnsi="Times New Roman" w:eastAsia="仿宋_GB2312" w:cs="Times New Roman"/>
          <w:sz w:val="32"/>
          <w:szCs w:val="32"/>
          <w:lang w:val="en"/>
        </w:rPr>
        <w:t>202</w:t>
      </w:r>
      <w:r>
        <w:rPr>
          <w:rFonts w:hint="eastAsia" w:ascii="Times New Roman" w:hAnsi="Times New Roman" w:eastAsia="仿宋_GB2312" w:cs="Times New Roman"/>
          <w:sz w:val="32"/>
          <w:szCs w:val="32"/>
          <w:lang w:val="en-US" w:eastAsia="zh-CN"/>
        </w:rPr>
        <w:t>5</w:t>
      </w:r>
      <w:r>
        <w:rPr>
          <w:rFonts w:ascii="Times New Roman" w:hAnsi="Times New Roman" w:eastAsia="仿宋_GB2312" w:cs="Times New Roman"/>
          <w:sz w:val="32"/>
          <w:szCs w:val="32"/>
          <w:lang w:val="en"/>
        </w:rPr>
        <w:t>年度</w:t>
      </w:r>
      <w:r>
        <w:rPr>
          <w:rFonts w:eastAsia="仿宋_GB2312"/>
          <w:sz w:val="32"/>
          <w:szCs w:val="32"/>
          <w:lang w:val="en"/>
        </w:rPr>
        <w:t>工贸</w:t>
      </w:r>
      <w:r>
        <w:rPr>
          <w:rFonts w:hint="eastAsia" w:eastAsia="仿宋_GB2312"/>
          <w:sz w:val="32"/>
          <w:szCs w:val="32"/>
          <w:lang w:val="en"/>
        </w:rPr>
        <w:t>行业</w:t>
      </w:r>
      <w:r>
        <w:rPr>
          <w:rFonts w:eastAsia="仿宋_GB2312"/>
          <w:sz w:val="32"/>
          <w:szCs w:val="32"/>
          <w:lang w:val="zh-CN"/>
        </w:rPr>
        <w:t>监督检查计划</w:t>
      </w:r>
    </w:p>
    <w:p w14:paraId="79796400">
      <w:pPr>
        <w:keepNext w:val="0"/>
        <w:keepLines w:val="0"/>
        <w:pageBreakBefore w:val="0"/>
        <w:numPr>
          <w:ilvl w:val="0"/>
          <w:numId w:val="0"/>
        </w:numPr>
        <w:wordWrap/>
        <w:overflowPunct/>
        <w:bidi w:val="0"/>
        <w:adjustRightInd w:val="0"/>
        <w:snapToGrid w:val="0"/>
        <w:spacing w:line="600" w:lineRule="exact"/>
        <w:ind w:right="0" w:rightChars="0" w:firstLine="1600" w:firstLineChars="500"/>
        <w:rPr>
          <w:rFonts w:eastAsia="仿宋_GB2312"/>
          <w:sz w:val="32"/>
          <w:szCs w:val="32"/>
          <w:lang w:val="zh-CN"/>
        </w:rPr>
      </w:pPr>
      <w:r>
        <w:rPr>
          <w:rFonts w:hint="eastAsia" w:eastAsia="仿宋_GB2312"/>
          <w:sz w:val="32"/>
          <w:szCs w:val="32"/>
          <w:lang w:val="en-US" w:eastAsia="zh-CN"/>
        </w:rPr>
        <w:t>3.2025年度安全培训机构行业监督检查计划</w:t>
      </w:r>
    </w:p>
    <w:p w14:paraId="2CF1E811">
      <w:pPr>
        <w:pStyle w:val="12"/>
        <w:keepNext w:val="0"/>
        <w:keepLines w:val="0"/>
        <w:pageBreakBefore w:val="0"/>
        <w:wordWrap/>
        <w:overflowPunct/>
        <w:bidi w:val="0"/>
        <w:snapToGrid w:val="0"/>
        <w:spacing w:line="600" w:lineRule="exact"/>
        <w:ind w:right="0" w:firstLine="1600" w:firstLineChars="500"/>
        <w:jc w:val="both"/>
        <w:rPr>
          <w:rFonts w:ascii="Times New Roman" w:hAnsi="Times New Roman" w:eastAsia="仿宋_GB2312"/>
          <w:color w:val="auto"/>
          <w:kern w:val="2"/>
          <w:sz w:val="32"/>
          <w:szCs w:val="32"/>
        </w:rPr>
      </w:pPr>
      <w:r>
        <w:rPr>
          <w:rFonts w:hint="eastAsia" w:ascii="Times New Roman" w:hAnsi="Times New Roman" w:eastAsia="仿宋_GB2312"/>
          <w:color w:val="auto"/>
          <w:kern w:val="2"/>
          <w:sz w:val="32"/>
          <w:szCs w:val="32"/>
          <w:lang w:val="en-US" w:eastAsia="zh-CN"/>
        </w:rPr>
        <w:t>4</w:t>
      </w:r>
      <w:r>
        <w:rPr>
          <w:rFonts w:ascii="Times New Roman" w:hAnsi="Times New Roman" w:eastAsia="仿宋_GB2312"/>
          <w:color w:val="auto"/>
          <w:kern w:val="2"/>
          <w:sz w:val="32"/>
          <w:szCs w:val="32"/>
          <w:lang w:val="zh-CN"/>
        </w:rPr>
        <w:t>.202</w:t>
      </w:r>
      <w:r>
        <w:rPr>
          <w:rFonts w:hint="eastAsia" w:ascii="Times New Roman" w:hAnsi="Times New Roman" w:eastAsia="仿宋_GB2312"/>
          <w:color w:val="auto"/>
          <w:kern w:val="2"/>
          <w:sz w:val="32"/>
          <w:szCs w:val="32"/>
          <w:lang w:val="en-US" w:eastAsia="zh-CN"/>
        </w:rPr>
        <w:t>5</w:t>
      </w:r>
      <w:r>
        <w:rPr>
          <w:rFonts w:ascii="Times New Roman" w:hAnsi="Times New Roman" w:eastAsia="仿宋_GB2312"/>
          <w:color w:val="auto"/>
          <w:kern w:val="2"/>
          <w:sz w:val="32"/>
          <w:szCs w:val="32"/>
          <w:lang w:val="zh-CN"/>
        </w:rPr>
        <w:t>年度执法监督计划</w:t>
      </w:r>
    </w:p>
    <w:p w14:paraId="458E106B">
      <w:pPr>
        <w:keepNext w:val="0"/>
        <w:keepLines w:val="0"/>
        <w:pageBreakBefore w:val="0"/>
        <w:wordWrap/>
        <w:overflowPunct/>
        <w:bidi w:val="0"/>
        <w:adjustRightInd w:val="0"/>
        <w:snapToGrid w:val="0"/>
        <w:spacing w:line="600" w:lineRule="exact"/>
        <w:ind w:right="0"/>
        <w:rPr>
          <w:rFonts w:eastAsia="仿宋_GB2312"/>
          <w:sz w:val="32"/>
          <w:szCs w:val="32"/>
          <w:lang w:val="zh-CN"/>
        </w:rPr>
      </w:pPr>
    </w:p>
    <w:p w14:paraId="5AF3F5AA">
      <w:pPr>
        <w:keepNext w:val="0"/>
        <w:keepLines w:val="0"/>
        <w:pageBreakBefore w:val="0"/>
        <w:wordWrap/>
        <w:overflowPunct/>
        <w:bidi w:val="0"/>
        <w:adjustRightInd w:val="0"/>
        <w:snapToGrid w:val="0"/>
        <w:spacing w:line="600" w:lineRule="exact"/>
        <w:ind w:right="0"/>
        <w:rPr>
          <w:rFonts w:eastAsia="仿宋_GB2312"/>
          <w:sz w:val="32"/>
          <w:szCs w:val="32"/>
          <w:lang w:val="zh-CN"/>
        </w:rPr>
      </w:pPr>
    </w:p>
    <w:p w14:paraId="7EF67ADC">
      <w:pPr>
        <w:keepNext w:val="0"/>
        <w:keepLines w:val="0"/>
        <w:pageBreakBefore w:val="0"/>
        <w:wordWrap/>
        <w:overflowPunct/>
        <w:bidi w:val="0"/>
        <w:adjustRightInd w:val="0"/>
        <w:snapToGrid w:val="0"/>
        <w:spacing w:line="600" w:lineRule="exact"/>
        <w:ind w:right="0"/>
        <w:rPr>
          <w:rFonts w:eastAsia="仿宋_GB2312"/>
          <w:sz w:val="32"/>
          <w:szCs w:val="32"/>
          <w:lang w:val="zh-CN"/>
        </w:rPr>
      </w:pPr>
    </w:p>
    <w:p w14:paraId="0A8338F4">
      <w:pPr>
        <w:keepNext w:val="0"/>
        <w:keepLines w:val="0"/>
        <w:pageBreakBefore w:val="0"/>
        <w:wordWrap/>
        <w:overflowPunct/>
        <w:bidi w:val="0"/>
        <w:adjustRightInd w:val="0"/>
        <w:snapToGrid w:val="0"/>
        <w:spacing w:line="600" w:lineRule="exact"/>
        <w:ind w:right="0"/>
        <w:rPr>
          <w:rFonts w:eastAsia="仿宋_GB2312"/>
          <w:sz w:val="32"/>
          <w:szCs w:val="32"/>
          <w:lang w:val="zh-CN"/>
        </w:rPr>
      </w:pPr>
    </w:p>
    <w:p w14:paraId="76F7895C">
      <w:pPr>
        <w:pStyle w:val="2"/>
        <w:rPr>
          <w:rFonts w:eastAsia="仿宋_GB2312"/>
          <w:sz w:val="32"/>
          <w:szCs w:val="32"/>
          <w:lang w:val="zh-CN"/>
        </w:rPr>
      </w:pPr>
    </w:p>
    <w:p w14:paraId="76E6ADE1">
      <w:pPr>
        <w:pStyle w:val="2"/>
        <w:rPr>
          <w:rFonts w:eastAsia="仿宋_GB2312"/>
          <w:sz w:val="32"/>
          <w:szCs w:val="32"/>
          <w:lang w:val="zh-CN"/>
        </w:rPr>
      </w:pPr>
    </w:p>
    <w:p w14:paraId="6B593CBB">
      <w:pPr>
        <w:pStyle w:val="2"/>
        <w:rPr>
          <w:rFonts w:eastAsia="仿宋_GB2312"/>
          <w:sz w:val="32"/>
          <w:szCs w:val="32"/>
          <w:lang w:val="zh-CN"/>
        </w:rPr>
      </w:pPr>
    </w:p>
    <w:p w14:paraId="57BA3052">
      <w:pPr>
        <w:pStyle w:val="2"/>
        <w:rPr>
          <w:rFonts w:eastAsia="仿宋_GB2312"/>
          <w:sz w:val="32"/>
          <w:szCs w:val="32"/>
          <w:lang w:val="zh-CN"/>
        </w:rPr>
      </w:pPr>
    </w:p>
    <w:p w14:paraId="1BAB8379">
      <w:pPr>
        <w:pStyle w:val="2"/>
        <w:rPr>
          <w:rFonts w:eastAsia="仿宋_GB2312"/>
          <w:sz w:val="32"/>
          <w:szCs w:val="32"/>
          <w:lang w:val="zh-CN"/>
        </w:rPr>
      </w:pPr>
    </w:p>
    <w:p w14:paraId="6A5FDE14">
      <w:pPr>
        <w:pStyle w:val="2"/>
        <w:rPr>
          <w:rFonts w:eastAsia="仿宋_GB2312"/>
          <w:sz w:val="32"/>
          <w:szCs w:val="32"/>
          <w:lang w:val="zh-CN"/>
        </w:rPr>
      </w:pPr>
    </w:p>
    <w:p w14:paraId="7EB177F1">
      <w:pPr>
        <w:pStyle w:val="2"/>
        <w:ind w:left="0" w:leftChars="0" w:firstLine="0" w:firstLineChars="0"/>
        <w:rPr>
          <w:rFonts w:eastAsia="仿宋_GB2312"/>
          <w:sz w:val="32"/>
          <w:szCs w:val="32"/>
          <w:lang w:val="zh-CN"/>
        </w:rPr>
      </w:pPr>
      <w:r>
        <w:rPr>
          <w:rFonts w:eastAsia="黑体"/>
          <w:sz w:val="32"/>
          <w:szCs w:val="32"/>
          <w:lang w:val="en"/>
        </w:rPr>
        <w:t>附件</w:t>
      </w:r>
      <w:r>
        <w:rPr>
          <w:rFonts w:eastAsia="黑体"/>
          <w:sz w:val="32"/>
          <w:szCs w:val="32"/>
        </w:rPr>
        <w:t>1</w:t>
      </w:r>
    </w:p>
    <w:p w14:paraId="44B0DD86">
      <w:pPr>
        <w:pStyle w:val="4"/>
        <w:keepNext w:val="0"/>
        <w:keepLines w:val="0"/>
        <w:pageBreakBefore w:val="0"/>
        <w:widowControl w:val="0"/>
        <w:kinsoku/>
        <w:wordWrap/>
        <w:overflowPunct/>
        <w:topLinePunct w:val="0"/>
        <w:autoSpaceDE w:val="0"/>
        <w:autoSpaceDN w:val="0"/>
        <w:bidi w:val="0"/>
        <w:adjustRightInd/>
        <w:snapToGrid/>
        <w:spacing w:before="0" w:line="600" w:lineRule="exact"/>
        <w:ind w:left="0" w:leftChars="0" w:firstLine="0" w:firstLineChars="0"/>
        <w:jc w:val="center"/>
        <w:textAlignment w:val="auto"/>
        <w:rPr>
          <w:rFonts w:hint="eastAsia" w:ascii="方正小标宋简体" w:hAnsi="方正小标宋简体" w:eastAsia="方正小标宋简体" w:cs="方正小标宋简体"/>
          <w:lang w:val="en-US" w:eastAsia="zh-CN"/>
        </w:rPr>
      </w:pPr>
      <w:r>
        <w:rPr>
          <w:rFonts w:hint="eastAsia" w:ascii="方正小标宋简体" w:hAnsi="方正小标宋简体" w:eastAsia="方正小标宋简体" w:cs="方正小标宋简体"/>
          <w:lang w:val="en-US" w:eastAsia="zh-CN"/>
        </w:rPr>
        <w:t>2025年度危险化学品和烟花爆竹行业</w:t>
      </w:r>
    </w:p>
    <w:p w14:paraId="720BF274">
      <w:pPr>
        <w:pStyle w:val="4"/>
        <w:keepNext w:val="0"/>
        <w:keepLines w:val="0"/>
        <w:pageBreakBefore w:val="0"/>
        <w:widowControl w:val="0"/>
        <w:kinsoku/>
        <w:wordWrap/>
        <w:overflowPunct/>
        <w:topLinePunct w:val="0"/>
        <w:autoSpaceDE w:val="0"/>
        <w:autoSpaceDN w:val="0"/>
        <w:bidi w:val="0"/>
        <w:adjustRightInd/>
        <w:snapToGrid/>
        <w:spacing w:before="0" w:line="600" w:lineRule="exact"/>
        <w:ind w:left="0" w:leftChars="0" w:firstLine="0" w:firstLineChars="0"/>
        <w:jc w:val="center"/>
        <w:textAlignment w:val="auto"/>
        <w:rPr>
          <w:rFonts w:hint="eastAsia" w:ascii="方正小标宋简体" w:hAnsi="方正小标宋简体" w:eastAsia="方正小标宋简体" w:cs="方正小标宋简体"/>
          <w:lang w:val="en-US" w:eastAsia="zh-CN"/>
        </w:rPr>
      </w:pPr>
      <w:r>
        <w:rPr>
          <w:rFonts w:hint="eastAsia" w:ascii="方正小标宋简体" w:hAnsi="方正小标宋简体" w:eastAsia="方正小标宋简体" w:cs="方正小标宋简体"/>
          <w:lang w:val="en-US" w:eastAsia="zh-CN"/>
        </w:rPr>
        <w:t>监督检查计划</w:t>
      </w:r>
    </w:p>
    <w:p w14:paraId="6E0C45AD">
      <w:pPr>
        <w:pStyle w:val="3"/>
        <w:keepNext w:val="0"/>
        <w:keepLines w:val="0"/>
        <w:pageBreakBefore w:val="0"/>
        <w:widowControl w:val="0"/>
        <w:kinsoku/>
        <w:wordWrap/>
        <w:overflowPunct/>
        <w:topLinePunct w:val="0"/>
        <w:autoSpaceDE w:val="0"/>
        <w:autoSpaceDN w:val="0"/>
        <w:bidi w:val="0"/>
        <w:adjustRightInd/>
        <w:snapToGrid/>
        <w:spacing w:before="0" w:line="600" w:lineRule="exact"/>
        <w:ind w:left="0"/>
        <w:textAlignment w:val="auto"/>
        <w:rPr>
          <w:sz w:val="70"/>
        </w:rPr>
      </w:pPr>
    </w:p>
    <w:p w14:paraId="65D1A238">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textAlignment w:val="auto"/>
        <w:rPr>
          <w:rFonts w:hint="eastAsia" w:ascii="黑体" w:eastAsia="黑体"/>
          <w:sz w:val="32"/>
          <w:szCs w:val="32"/>
        </w:rPr>
      </w:pPr>
      <w:r>
        <w:rPr>
          <w:rFonts w:hint="eastAsia" w:ascii="黑体" w:eastAsia="黑体"/>
          <w:sz w:val="32"/>
          <w:szCs w:val="32"/>
        </w:rPr>
        <w:t>一、全</w:t>
      </w:r>
      <w:r>
        <w:rPr>
          <w:rFonts w:hint="eastAsia" w:ascii="黑体" w:eastAsia="黑体"/>
          <w:sz w:val="32"/>
          <w:szCs w:val="32"/>
          <w:lang w:eastAsia="zh-CN"/>
        </w:rPr>
        <w:t>区</w:t>
      </w:r>
      <w:r>
        <w:rPr>
          <w:rFonts w:hint="eastAsia" w:ascii="黑体" w:eastAsia="黑体"/>
          <w:sz w:val="32"/>
          <w:szCs w:val="32"/>
        </w:rPr>
        <w:t>危险化学品</w:t>
      </w:r>
      <w:r>
        <w:rPr>
          <w:rFonts w:hint="eastAsia" w:ascii="黑体" w:eastAsia="黑体"/>
          <w:sz w:val="32"/>
          <w:szCs w:val="32"/>
          <w:lang w:eastAsia="zh-CN"/>
        </w:rPr>
        <w:t>和烟花爆竹</w:t>
      </w:r>
      <w:r>
        <w:rPr>
          <w:rFonts w:hint="eastAsia" w:ascii="黑体" w:eastAsia="黑体"/>
          <w:sz w:val="32"/>
          <w:szCs w:val="32"/>
        </w:rPr>
        <w:t>基本情况</w:t>
      </w:r>
    </w:p>
    <w:p w14:paraId="2346C951">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全区共有危险化学品企业共计623家，其中危险化学品生产9家，危险化学品经营企业578家，化工企业20家，医药企业16家。</w:t>
      </w:r>
    </w:p>
    <w:p w14:paraId="7AD6E100">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全区共有烟花爆竹经营企业62家，其中4家烟花爆竹批发经营企业（设仓库在靖港），58家烟花爆竹零售门店。</w:t>
      </w:r>
    </w:p>
    <w:p w14:paraId="494EE9BA">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textAlignment w:val="auto"/>
        <w:rPr>
          <w:rFonts w:hint="eastAsia" w:ascii="黑体" w:eastAsia="黑体"/>
          <w:sz w:val="32"/>
          <w:szCs w:val="32"/>
        </w:rPr>
      </w:pPr>
      <w:r>
        <w:rPr>
          <w:rFonts w:hint="eastAsia" w:ascii="黑体" w:eastAsia="黑体"/>
          <w:sz w:val="32"/>
          <w:szCs w:val="32"/>
        </w:rPr>
        <w:t>二、主要执法依据</w:t>
      </w:r>
    </w:p>
    <w:p w14:paraId="70D50531">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（一）《中华人民共和国安全生产法》《中华人民共和国</w:t>
      </w:r>
      <w:bookmarkStart w:id="0" w:name="_GoBack"/>
      <w:bookmarkEnd w:id="0"/>
      <w:r>
        <w:rPr>
          <w:rFonts w:hint="eastAsia" w:ascii="仿宋_GB2312" w:hAnsi="仿宋_GB2312" w:eastAsia="仿宋_GB2312" w:cs="仿宋_GB2312"/>
          <w:color w:val="auto"/>
          <w:kern w:val="0"/>
          <w:sz w:val="32"/>
          <w:szCs w:val="32"/>
          <w:lang w:val="en-US" w:eastAsia="zh-CN" w:bidi="ar-SA"/>
        </w:rPr>
        <w:t>行政处罚法》《危险化学品安全管理条例》《烟花爆竹安全管理条例》《安全生产许可证条例》《生产安全事故应急条例》《湖南省安全生产条例》；</w:t>
      </w:r>
    </w:p>
    <w:p w14:paraId="2407D815">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二）《安全生产事故隐患排查治理暂行规定》《危险化学品生产企业安全生产许可证实施办法》《烟花爆竹生产经营安全规定》《烟花爆竹经营许可实施办法》《危险化学品重大危险源监督管理暂行规定》《危险化学品输送管道安全管理办法》《危险化学品建设项目安全监督管理办法》《危险化学品登记管理办法》《危险化学品经营许可证管理办法》《化学品物理危险性鉴定与分类管理办法》《危险化学品安全使用许可证实施办法》《安全生产监管监察职责和行政执法责任追究的规定》《湖南省生产经营单位安全生产主体责任规定》；</w:t>
      </w:r>
    </w:p>
    <w:p w14:paraId="7569FA21">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（三）《化工（危险化学品）企业安全检查重点指导目录》《化工和危险化学品生产经营单位重大生产安全事故隐患判定标准（试行）》《危险化学品生产储存企业安全风险评估诊断分级指南（试行）》；</w:t>
      </w:r>
    </w:p>
    <w:p w14:paraId="3AFC3B4E">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（四）其他相关法律法规和标准规范及法规性规范性文件。</w:t>
      </w:r>
    </w:p>
    <w:p w14:paraId="76442C83">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textAlignment w:val="auto"/>
        <w:rPr>
          <w:rFonts w:hint="eastAsia" w:ascii="黑体" w:eastAsia="黑体"/>
          <w:sz w:val="32"/>
          <w:szCs w:val="32"/>
        </w:rPr>
      </w:pPr>
      <w:r>
        <w:rPr>
          <w:rFonts w:hint="eastAsia" w:ascii="黑体" w:eastAsia="黑体"/>
          <w:sz w:val="32"/>
          <w:szCs w:val="32"/>
        </w:rPr>
        <w:t>三、重点检查内容</w:t>
      </w:r>
    </w:p>
    <w:p w14:paraId="2131C2F2">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抓住危险化学品企业重大风险管控和重大事故隐患排查治理开展执法检查，督促企业加大安全投入、加快安全技术改造、强化安全风险管控、切实整治事故隐患，提高事故防范能力。</w:t>
      </w:r>
    </w:p>
    <w:p w14:paraId="33D3755C">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对危险化学品直接执法对象重点检查以下内容:</w:t>
      </w:r>
    </w:p>
    <w:p w14:paraId="37BC1B13">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（一）依法取得有关安全生产行政许可证照的情况；</w:t>
      </w:r>
    </w:p>
    <w:p w14:paraId="25C2B225">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（二）生产、储存和使用危险化学品从事化工生产的企业依法每三年进行一次安全评价的情况；</w:t>
      </w:r>
    </w:p>
    <w:p w14:paraId="6AB9A070">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（三）建立和落实安全生产责任制、安全生产规章制度和操作规程、作业规程的情况；</w:t>
      </w:r>
    </w:p>
    <w:p w14:paraId="1CA40165">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（四）按照国家规定提取和使用安全生产费用，以及其他安全生产投入的情况；</w:t>
      </w:r>
    </w:p>
    <w:p w14:paraId="6FEB2441">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（五）依法设置安全生产管理机构和配备安全生产管理人员的情况；</w:t>
      </w:r>
    </w:p>
    <w:p w14:paraId="4EBCC9FC">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（六）从业人员受到安全生产教育、培训，取得有关安全培训合格证书的情况；</w:t>
      </w:r>
    </w:p>
    <w:p w14:paraId="4BEA22D9">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（七）新建、改建、扩建危险化学品项目的安全设施与主体工程同时设计、同时施工、同时投入生产和使用，以及按规定办理设计审查和自主实施竣工验收的情况；</w:t>
      </w:r>
    </w:p>
    <w:p w14:paraId="75DDD19E">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（八）在有较大危险因素的生产经营场所和有关设施、设备上，设置安全警示标志的情况；</w:t>
      </w:r>
    </w:p>
    <w:p w14:paraId="3579A955">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（九）对安全设备设施的维护、保养、定期检测的情况；</w:t>
      </w:r>
    </w:p>
    <w:p w14:paraId="0103058B">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（十）重大危险源登记建档、定期检测、评估、监控和制定应急预案的情况；</w:t>
      </w:r>
    </w:p>
    <w:p w14:paraId="44E4E3ED">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（十一）教育和督促从业人员严格执行本单位的安全生产规章制度和安全操作规程，并向从业人员如实告知作业场所和工作岗位存在的危险因素、防范措施以及事故应急措施的情况；</w:t>
      </w:r>
    </w:p>
    <w:p w14:paraId="76ED600D">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（十二）为从业人员提供符合国家标准或者行业标准的劳动防护用品，并监督、教育从业人员按照使用规则正确佩戴和使用的情况；</w:t>
      </w:r>
    </w:p>
    <w:p w14:paraId="492F0CBB">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三）在同一作业区域内进行生产经营活动，可能危及对方生产安全的，与对方签订安全生产管理协议，明确各自的安全生产管理职责和应当采取的安全措施，并指定专职安全生产管理人员进行安全检查与协调的情况；</w:t>
      </w:r>
    </w:p>
    <w:p w14:paraId="412B6CF9">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（十四）对承包单位、承租单位的安全生产工作实行统一协调、管理的情况；</w:t>
      </w:r>
    </w:p>
    <w:p w14:paraId="309B7744">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（十五）组织安全生产检查，及时排查治理生产安全事故隐患的情况；</w:t>
      </w:r>
    </w:p>
    <w:p w14:paraId="651231EB">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（十六）制定、实施生产安全事故应急预案，以及有关应急预案备案的情况；</w:t>
      </w:r>
    </w:p>
    <w:p w14:paraId="3E94D03D">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（十七）建立应急救援组织或者兼职救援队伍、签订应急救援协议，以及应急救援器材、设备的配备、维护、保养的情况；</w:t>
      </w:r>
    </w:p>
    <w:p w14:paraId="3CF819DB">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（十八）按照规定报告本单位生产安全事故的情况；</w:t>
      </w:r>
    </w:p>
    <w:p w14:paraId="2F8AE8D5">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（十九）依法应当监督检查的其他情况。</w:t>
      </w:r>
    </w:p>
    <w:p w14:paraId="4982CD5D">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对烟花爆竹重点检查内容为：</w:t>
      </w:r>
    </w:p>
    <w:p w14:paraId="6471ECB1">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（一）无证、证照不全或证照逾期经营单位；</w:t>
      </w:r>
    </w:p>
    <w:p w14:paraId="461C9519">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（二）发现存在重大安全事故隐患的经营单位；</w:t>
      </w:r>
    </w:p>
    <w:p w14:paraId="4AC4DEC7">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（三）申请退出或关闭取缔后擅自从事生产经营的；</w:t>
      </w:r>
    </w:p>
    <w:p w14:paraId="44653D45">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（四）批发企业违反“六严禁”、零售店违反“三严禁”经营储存的。</w:t>
      </w:r>
    </w:p>
    <w:p w14:paraId="0D6D2F1D">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firstLineChars="200"/>
        <w:textAlignment w:val="auto"/>
        <w:rPr>
          <w:rFonts w:hint="eastAsia" w:ascii="黑体" w:eastAsia="黑体"/>
          <w:sz w:val="32"/>
          <w:szCs w:val="32"/>
        </w:rPr>
      </w:pPr>
      <w:r>
        <w:rPr>
          <w:rFonts w:hint="eastAsia" w:ascii="黑体" w:eastAsia="黑体"/>
          <w:sz w:val="32"/>
          <w:szCs w:val="32"/>
        </w:rPr>
        <w:t>四、重点监管执法对象</w:t>
      </w:r>
    </w:p>
    <w:p w14:paraId="72094D9E">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16" w:firstLineChars="200"/>
        <w:jc w:val="both"/>
        <w:textAlignment w:val="auto"/>
        <w:rPr>
          <w:rFonts w:hint="eastAsia" w:ascii="仿宋_GB2312" w:hAnsi="仿宋_GB2312" w:eastAsia="仿宋_GB2312" w:cs="仿宋_GB2312"/>
          <w:spacing w:val="-6"/>
          <w:sz w:val="32"/>
          <w:szCs w:val="32"/>
          <w:lang w:eastAsia="zh-CN"/>
        </w:rPr>
      </w:pPr>
      <w:r>
        <w:rPr>
          <w:rFonts w:hint="eastAsia" w:ascii="仿宋_GB2312" w:hAnsi="仿宋_GB2312" w:eastAsia="仿宋_GB2312" w:cs="仿宋_GB2312"/>
          <w:spacing w:val="-6"/>
          <w:sz w:val="32"/>
          <w:szCs w:val="32"/>
          <w:lang w:eastAsia="zh-CN"/>
        </w:rPr>
        <w:t>按照分类分级实施安全监管执法的要求，区应急管理局负责全区危险化学品和烟花爆竹企业的安全监管执法工作，并对下列执法对象进行重点监管执法。</w:t>
      </w:r>
    </w:p>
    <w:p w14:paraId="073D6662">
      <w:pPr>
        <w:pStyle w:val="3"/>
        <w:keepNext w:val="0"/>
        <w:keepLines w:val="0"/>
        <w:pageBreakBefore w:val="0"/>
        <w:widowControl w:val="0"/>
        <w:kinsoku/>
        <w:wordWrap/>
        <w:overflowPunct/>
        <w:topLinePunct w:val="0"/>
        <w:autoSpaceDE w:val="0"/>
        <w:autoSpaceDN w:val="0"/>
        <w:bidi w:val="0"/>
        <w:adjustRightInd/>
        <w:snapToGrid/>
        <w:spacing w:before="0" w:after="0" w:line="600" w:lineRule="exact"/>
        <w:ind w:left="0" w:right="0" w:firstLine="640"/>
        <w:jc w:val="both"/>
        <w:textAlignment w:val="auto"/>
        <w:rPr>
          <w:rFonts w:hint="eastAsia" w:ascii="仿宋_GB2312" w:hAnsi="仿宋_GB2312" w:eastAsia="仿宋_GB2312" w:cs="仿宋_GB2312"/>
          <w:spacing w:val="-6"/>
          <w:sz w:val="32"/>
          <w:szCs w:val="32"/>
          <w:lang w:val="en-US" w:eastAsia="zh-CN"/>
        </w:rPr>
      </w:pPr>
      <w:r>
        <w:rPr>
          <w:rFonts w:hint="eastAsia" w:ascii="仿宋_GB2312" w:hAnsi="仿宋_GB2312" w:eastAsia="仿宋_GB2312" w:cs="仿宋_GB2312"/>
          <w:b/>
          <w:bCs/>
          <w:spacing w:val="-4"/>
          <w:sz w:val="32"/>
          <w:szCs w:val="32"/>
          <w:lang w:eastAsia="zh-CN"/>
        </w:rPr>
        <w:t>（一）</w:t>
      </w:r>
      <w:r>
        <w:rPr>
          <w:rFonts w:hint="eastAsia" w:ascii="仿宋_GB2312" w:hAnsi="仿宋_GB2312" w:eastAsia="仿宋_GB2312" w:cs="仿宋_GB2312"/>
          <w:b/>
          <w:bCs/>
          <w:spacing w:val="-4"/>
          <w:sz w:val="32"/>
          <w:szCs w:val="32"/>
        </w:rPr>
        <w:t>直接</w:t>
      </w:r>
      <w:r>
        <w:rPr>
          <w:rFonts w:hint="eastAsia" w:ascii="仿宋_GB2312" w:hAnsi="仿宋_GB2312" w:eastAsia="仿宋_GB2312" w:cs="仿宋_GB2312"/>
          <w:b/>
          <w:bCs/>
          <w:spacing w:val="-4"/>
          <w:sz w:val="32"/>
          <w:szCs w:val="32"/>
          <w:lang w:eastAsia="zh-CN"/>
        </w:rPr>
        <w:t>对除省、市执法计划以外的央企、省属企业、市属企业及分支机构</w:t>
      </w:r>
      <w:r>
        <w:rPr>
          <w:rFonts w:hint="eastAsia" w:ascii="仿宋_GB2312" w:hAnsi="仿宋_GB2312" w:eastAsia="仿宋_GB2312" w:cs="仿宋_GB2312"/>
          <w:b/>
          <w:bCs/>
          <w:spacing w:val="-6"/>
          <w:sz w:val="32"/>
          <w:szCs w:val="32"/>
        </w:rPr>
        <w:t>实施安全监管执法</w:t>
      </w:r>
      <w:r>
        <w:rPr>
          <w:rFonts w:hint="eastAsia" w:ascii="仿宋_GB2312" w:hAnsi="仿宋_GB2312" w:eastAsia="仿宋_GB2312" w:cs="仿宋_GB2312"/>
          <w:b/>
          <w:spacing w:val="-6"/>
          <w:sz w:val="32"/>
          <w:szCs w:val="32"/>
        </w:rPr>
        <w:t>。</w:t>
      </w:r>
      <w:r>
        <w:rPr>
          <w:rFonts w:hint="eastAsia" w:ascii="仿宋_GB2312" w:hAnsi="仿宋_GB2312" w:eastAsia="仿宋_GB2312" w:cs="仿宋_GB2312"/>
          <w:spacing w:val="-6"/>
          <w:sz w:val="32"/>
          <w:szCs w:val="32"/>
          <w:lang w:eastAsia="zh-CN"/>
        </w:rPr>
        <w:t>具体对象为：辖区内中国石油天然气股份有限公司湖南销售分公司加油站</w:t>
      </w:r>
      <w:r>
        <w:rPr>
          <w:rFonts w:hint="eastAsia" w:ascii="仿宋_GB2312" w:hAnsi="仿宋_GB2312" w:eastAsia="仿宋_GB2312" w:cs="仿宋_GB2312"/>
          <w:spacing w:val="-6"/>
          <w:sz w:val="32"/>
          <w:szCs w:val="32"/>
          <w:lang w:val="en-US" w:eastAsia="zh-CN"/>
        </w:rPr>
        <w:t>、中国石油化工股份有限公司湖南销售分公司加油站、中海油加油站、中化石油加油站，按计划对以上单位每年开展一次执法检查。</w:t>
      </w:r>
    </w:p>
    <w:p w14:paraId="6D1482FE">
      <w:pPr>
        <w:pStyle w:val="13"/>
        <w:keepNext w:val="0"/>
        <w:keepLines w:val="0"/>
        <w:pageBreakBefore w:val="0"/>
        <w:widowControl w:val="0"/>
        <w:kinsoku/>
        <w:wordWrap/>
        <w:overflowPunct/>
        <w:topLinePunct w:val="0"/>
        <w:autoSpaceDE w:val="0"/>
        <w:autoSpaceDN w:val="0"/>
        <w:bidi w:val="0"/>
        <w:adjustRightInd/>
        <w:snapToGrid/>
        <w:spacing w:line="600" w:lineRule="exact"/>
        <w:ind w:left="0" w:right="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（二</w:t>
      </w:r>
      <w:r>
        <w:rPr>
          <w:rFonts w:hint="eastAsia" w:ascii="仿宋_GB2312" w:hAnsi="仿宋_GB2312" w:eastAsia="仿宋_GB2312" w:cs="仿宋_GB2312"/>
          <w:b/>
          <w:spacing w:val="-65"/>
          <w:sz w:val="32"/>
          <w:szCs w:val="32"/>
        </w:rPr>
        <w:t>）</w:t>
      </w:r>
      <w:r>
        <w:rPr>
          <w:rFonts w:hint="eastAsia" w:ascii="仿宋_GB2312" w:hAnsi="仿宋_GB2312" w:eastAsia="仿宋_GB2312" w:cs="仿宋_GB2312"/>
          <w:b/>
          <w:spacing w:val="-5"/>
          <w:sz w:val="32"/>
          <w:szCs w:val="32"/>
        </w:rPr>
        <w:t>组织对</w:t>
      </w:r>
      <w:r>
        <w:rPr>
          <w:rFonts w:hint="eastAsia" w:ascii="仿宋_GB2312" w:hAnsi="仿宋_GB2312" w:eastAsia="仿宋_GB2312" w:cs="仿宋_GB2312"/>
          <w:b/>
          <w:spacing w:val="-5"/>
          <w:sz w:val="32"/>
          <w:szCs w:val="32"/>
          <w:lang w:eastAsia="zh-CN"/>
        </w:rPr>
        <w:t>重点</w:t>
      </w:r>
      <w:r>
        <w:rPr>
          <w:rFonts w:hint="eastAsia" w:ascii="仿宋_GB2312" w:hAnsi="仿宋_GB2312" w:eastAsia="仿宋_GB2312" w:cs="仿宋_GB2312"/>
          <w:b/>
          <w:spacing w:val="-5"/>
          <w:sz w:val="32"/>
          <w:szCs w:val="32"/>
        </w:rPr>
        <w:t>企业进行</w:t>
      </w:r>
      <w:r>
        <w:rPr>
          <w:rFonts w:hint="eastAsia" w:ascii="仿宋_GB2312" w:hAnsi="仿宋_GB2312" w:eastAsia="仿宋_GB2312" w:cs="仿宋_GB2312"/>
          <w:b/>
          <w:spacing w:val="-5"/>
          <w:sz w:val="32"/>
          <w:szCs w:val="32"/>
          <w:lang w:eastAsia="zh-CN"/>
        </w:rPr>
        <w:t>全覆盖检查</w:t>
      </w:r>
      <w:r>
        <w:rPr>
          <w:rFonts w:hint="eastAsia" w:ascii="仿宋_GB2312" w:hAnsi="仿宋_GB2312" w:eastAsia="仿宋_GB2312" w:cs="仿宋_GB2312"/>
          <w:b/>
          <w:spacing w:val="-5"/>
          <w:sz w:val="32"/>
          <w:szCs w:val="32"/>
        </w:rPr>
        <w:t>。</w:t>
      </w:r>
      <w:r>
        <w:rPr>
          <w:rFonts w:hint="eastAsia" w:ascii="仿宋_GB2312" w:hAnsi="仿宋_GB2312" w:eastAsia="仿宋_GB2312" w:cs="仿宋_GB2312"/>
          <w:b w:val="0"/>
          <w:bCs w:val="0"/>
          <w:spacing w:val="-6"/>
          <w:kern w:val="0"/>
          <w:sz w:val="32"/>
          <w:szCs w:val="32"/>
          <w:lang w:val="zh-CN" w:eastAsia="zh-CN" w:bidi="zh-CN"/>
        </w:rPr>
        <w:t>对除市应急管理局执法计划内的全区危险化学品生产企业、专业储存危险化学品仓库、带仓储经营的危险化学品企业和加油站、烟花爆竹经营批发单位实施安全监管执法。</w:t>
      </w:r>
    </w:p>
    <w:p w14:paraId="6798F9A1">
      <w:pPr>
        <w:keepNext w:val="0"/>
        <w:keepLines w:val="0"/>
        <w:pageBreakBefore w:val="0"/>
        <w:widowControl w:val="0"/>
        <w:kinsoku/>
        <w:wordWrap/>
        <w:overflowPunct/>
        <w:topLinePunct w:val="0"/>
        <w:bidi w:val="0"/>
        <w:adjustRightInd/>
        <w:snapToGrid/>
        <w:spacing w:line="600" w:lineRule="exact"/>
        <w:ind w:left="0" w:right="0" w:firstLine="643" w:firstLineChars="200"/>
        <w:textAlignment w:val="auto"/>
        <w:rPr>
          <w:rFonts w:hint="eastAsia" w:ascii="仿宋_GB2312" w:hAnsi="仿宋_GB2312" w:eastAsia="仿宋_GB2312" w:cs="仿宋_GB2312"/>
          <w:spacing w:val="-6"/>
          <w:sz w:val="32"/>
          <w:szCs w:val="32"/>
          <w:lang w:val="en-US" w:eastAsia="zh-CN"/>
        </w:rPr>
      </w:pPr>
      <w:r>
        <w:rPr>
          <w:rFonts w:hint="eastAsia" w:ascii="仿宋_GB2312" w:hAnsi="仿宋_GB2312" w:eastAsia="仿宋_GB2312" w:cs="仿宋_GB2312"/>
          <w:b/>
          <w:sz w:val="32"/>
          <w:szCs w:val="32"/>
        </w:rPr>
        <w:t>（三</w:t>
      </w:r>
      <w:r>
        <w:rPr>
          <w:rFonts w:hint="eastAsia" w:ascii="仿宋_GB2312" w:hAnsi="仿宋_GB2312" w:eastAsia="仿宋_GB2312" w:cs="仿宋_GB2312"/>
          <w:b/>
          <w:spacing w:val="-65"/>
          <w:sz w:val="32"/>
          <w:szCs w:val="32"/>
        </w:rPr>
        <w:t>）</w:t>
      </w:r>
      <w:r>
        <w:rPr>
          <w:rFonts w:hint="eastAsia" w:ascii="仿宋_GB2312" w:hAnsi="仿宋_GB2312" w:eastAsia="仿宋_GB2312" w:cs="仿宋_GB2312"/>
          <w:b/>
          <w:spacing w:val="-5"/>
          <w:sz w:val="32"/>
          <w:szCs w:val="32"/>
        </w:rPr>
        <w:t>组织对</w:t>
      </w:r>
      <w:r>
        <w:rPr>
          <w:rFonts w:hint="eastAsia" w:ascii="仿宋_GB2312" w:hAnsi="仿宋_GB2312" w:eastAsia="仿宋_GB2312" w:cs="仿宋_GB2312"/>
          <w:b/>
          <w:spacing w:val="-5"/>
          <w:sz w:val="32"/>
          <w:szCs w:val="32"/>
          <w:lang w:eastAsia="zh-CN"/>
        </w:rPr>
        <w:t>危险化学品经营（纯贸易）企业和烟花爆竹门店进行抽查</w:t>
      </w:r>
      <w:r>
        <w:rPr>
          <w:rFonts w:hint="eastAsia" w:ascii="仿宋_GB2312" w:hAnsi="仿宋_GB2312" w:eastAsia="仿宋_GB2312" w:cs="仿宋_GB2312"/>
          <w:b/>
          <w:spacing w:val="-5"/>
          <w:sz w:val="32"/>
          <w:szCs w:val="32"/>
        </w:rPr>
        <w:t>。</w:t>
      </w:r>
      <w:r>
        <w:rPr>
          <w:rFonts w:hint="eastAsia" w:ascii="仿宋_GB2312" w:hAnsi="仿宋_GB2312" w:eastAsia="仿宋_GB2312" w:cs="仿宋_GB2312"/>
          <w:spacing w:val="-6"/>
          <w:sz w:val="32"/>
          <w:szCs w:val="32"/>
          <w:lang w:eastAsia="zh-CN"/>
        </w:rPr>
        <w:t>重点对湾田化工市场危险化学品经营企业和全区烟花爆竹零售门店进行抽查，纯贸易单位</w:t>
      </w:r>
      <w:r>
        <w:rPr>
          <w:rFonts w:hint="eastAsia" w:ascii="仿宋_GB2312" w:hAnsi="仿宋_GB2312" w:eastAsia="仿宋_GB2312" w:cs="仿宋_GB2312"/>
          <w:spacing w:val="-6"/>
          <w:sz w:val="32"/>
          <w:szCs w:val="32"/>
          <w:lang w:val="en-US" w:eastAsia="zh-CN"/>
        </w:rPr>
        <w:t>每季度抽查企业5家，烟花爆竹零售门店每季度抽查3家。</w:t>
      </w:r>
    </w:p>
    <w:p w14:paraId="3F2C3B23">
      <w:pPr>
        <w:pStyle w:val="2"/>
        <w:rPr>
          <w:rFonts w:hint="eastAsia"/>
          <w:lang w:val="en-US" w:eastAsia="zh-CN"/>
        </w:rPr>
      </w:pPr>
    </w:p>
    <w:p w14:paraId="08E90E2B">
      <w:pPr>
        <w:keepNext w:val="0"/>
        <w:keepLines w:val="0"/>
        <w:pageBreakBefore w:val="0"/>
        <w:widowControl w:val="0"/>
        <w:kinsoku/>
        <w:wordWrap/>
        <w:overflowPunct/>
        <w:topLinePunct w:val="0"/>
        <w:bidi w:val="0"/>
        <w:adjustRightInd/>
        <w:snapToGrid/>
        <w:spacing w:line="600" w:lineRule="exact"/>
        <w:ind w:left="0" w:right="0"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附件1-1：《望城区危险化学品和烟花爆竹行业领域监管执法计划表》</w:t>
      </w:r>
      <w:r>
        <w:rPr>
          <w:rFonts w:hint="eastAsia" w:ascii="仿宋_GB2312" w:hAnsi="仿宋_GB2312" w:eastAsia="仿宋_GB2312" w:cs="仿宋_GB2312"/>
          <w:color w:val="auto"/>
          <w:kern w:val="0"/>
          <w:sz w:val="32"/>
          <w:szCs w:val="32"/>
          <w:lang w:val="en-US" w:eastAsia="zh-CN"/>
        </w:rPr>
        <w:br w:type="page"/>
      </w:r>
    </w:p>
    <w:p w14:paraId="0A99568D">
      <w:pPr>
        <w:widowControl/>
        <w:jc w:val="left"/>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附件1-1：</w:t>
      </w:r>
    </w:p>
    <w:p w14:paraId="56551E03">
      <w:pPr>
        <w:pStyle w:val="2"/>
        <w:rPr>
          <w:rFonts w:hint="eastAsia"/>
          <w:lang w:val="en-US" w:eastAsia="zh-CN"/>
        </w:rPr>
      </w:pPr>
    </w:p>
    <w:p w14:paraId="7968356F">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000000"/>
          <w:kern w:val="0"/>
          <w:sz w:val="44"/>
          <w:szCs w:val="44"/>
          <w:lang w:val="en-US" w:eastAsia="zh-CN"/>
        </w:rPr>
      </w:pPr>
      <w:r>
        <w:rPr>
          <w:rFonts w:hint="eastAsia" w:ascii="方正小标宋简体" w:hAnsi="方正小标宋简体" w:eastAsia="方正小标宋简体" w:cs="方正小标宋简体"/>
          <w:b w:val="0"/>
          <w:bCs/>
          <w:color w:val="000000"/>
          <w:kern w:val="0"/>
          <w:sz w:val="44"/>
          <w:szCs w:val="44"/>
          <w:lang w:val="en-US" w:eastAsia="zh-CN"/>
        </w:rPr>
        <w:t>望城区危险化学品和烟花爆竹行业领域</w:t>
      </w:r>
    </w:p>
    <w:p w14:paraId="56892187">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color w:val="000000"/>
          <w:kern w:val="0"/>
          <w:sz w:val="44"/>
          <w:szCs w:val="44"/>
        </w:rPr>
      </w:pPr>
      <w:r>
        <w:rPr>
          <w:rFonts w:hint="eastAsia" w:ascii="方正小标宋简体" w:hAnsi="方正小标宋简体" w:eastAsia="方正小标宋简体" w:cs="方正小标宋简体"/>
          <w:b w:val="0"/>
          <w:bCs/>
          <w:color w:val="000000"/>
          <w:kern w:val="0"/>
          <w:sz w:val="44"/>
          <w:szCs w:val="44"/>
          <w:lang w:eastAsia="zh-CN"/>
        </w:rPr>
        <w:t>监督检查计划</w:t>
      </w:r>
      <w:r>
        <w:rPr>
          <w:rFonts w:hint="eastAsia" w:ascii="方正小标宋简体" w:hAnsi="方正小标宋简体" w:eastAsia="方正小标宋简体" w:cs="方正小标宋简体"/>
          <w:b w:val="0"/>
          <w:bCs/>
          <w:color w:val="000000"/>
          <w:kern w:val="0"/>
          <w:sz w:val="44"/>
          <w:szCs w:val="44"/>
        </w:rPr>
        <w:t>表</w:t>
      </w:r>
    </w:p>
    <w:tbl>
      <w:tblPr>
        <w:tblStyle w:val="9"/>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7"/>
        <w:gridCol w:w="1611"/>
        <w:gridCol w:w="5670"/>
        <w:gridCol w:w="1171"/>
      </w:tblGrid>
      <w:tr w14:paraId="61D1E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1047" w:type="dxa"/>
            <w:tcBorders>
              <w:top w:val="single" w:color="auto" w:sz="4" w:space="0"/>
              <w:left w:val="single" w:color="auto" w:sz="4" w:space="0"/>
              <w:bottom w:val="single" w:color="auto" w:sz="4" w:space="0"/>
              <w:right w:val="single" w:color="auto" w:sz="4" w:space="0"/>
            </w:tcBorders>
            <w:vAlign w:val="center"/>
          </w:tcPr>
          <w:p w14:paraId="40991127">
            <w:pPr>
              <w:widowControl/>
              <w:spacing w:line="280" w:lineRule="exact"/>
              <w:jc w:val="center"/>
              <w:rPr>
                <w:rFonts w:ascii="仿宋_GB2312" w:hAnsi="仿宋_GB2312" w:eastAsia="仿宋_GB2312" w:cs="宋体"/>
                <w:b/>
                <w:color w:val="000000"/>
                <w:kern w:val="0"/>
                <w:sz w:val="24"/>
              </w:rPr>
            </w:pPr>
            <w:r>
              <w:rPr>
                <w:rFonts w:hint="eastAsia" w:ascii="仿宋_GB2312" w:hAnsi="仿宋_GB2312" w:eastAsia="仿宋_GB2312" w:cs="宋体"/>
                <w:b/>
                <w:color w:val="000000"/>
                <w:kern w:val="0"/>
                <w:sz w:val="24"/>
              </w:rPr>
              <w:t>时间</w:t>
            </w:r>
          </w:p>
        </w:tc>
        <w:tc>
          <w:tcPr>
            <w:tcW w:w="1611" w:type="dxa"/>
            <w:tcBorders>
              <w:top w:val="single" w:color="auto" w:sz="4" w:space="0"/>
              <w:left w:val="single" w:color="auto" w:sz="4" w:space="0"/>
              <w:bottom w:val="single" w:color="auto" w:sz="4" w:space="0"/>
              <w:right w:val="single" w:color="auto" w:sz="4" w:space="0"/>
            </w:tcBorders>
            <w:vAlign w:val="center"/>
          </w:tcPr>
          <w:p w14:paraId="779E2C3E">
            <w:pPr>
              <w:widowControl/>
              <w:spacing w:line="280" w:lineRule="exact"/>
              <w:jc w:val="center"/>
              <w:rPr>
                <w:rFonts w:hint="eastAsia" w:ascii="仿宋_GB2312" w:hAnsi="仿宋_GB2312" w:eastAsia="仿宋_GB2312" w:cs="宋体"/>
                <w:b/>
                <w:color w:val="000000"/>
                <w:kern w:val="0"/>
                <w:sz w:val="24"/>
                <w:lang w:eastAsia="zh-CN"/>
              </w:rPr>
            </w:pPr>
            <w:r>
              <w:rPr>
                <w:rFonts w:hint="eastAsia" w:ascii="仿宋_GB2312" w:hAnsi="仿宋_GB2312" w:eastAsia="仿宋_GB2312" w:cs="宋体"/>
                <w:b/>
                <w:color w:val="000000"/>
                <w:kern w:val="0"/>
                <w:sz w:val="24"/>
                <w:lang w:eastAsia="zh-CN"/>
              </w:rPr>
              <w:t>区域</w:t>
            </w:r>
          </w:p>
        </w:tc>
        <w:tc>
          <w:tcPr>
            <w:tcW w:w="5670" w:type="dxa"/>
            <w:tcBorders>
              <w:top w:val="single" w:color="auto" w:sz="4" w:space="0"/>
              <w:left w:val="single" w:color="auto" w:sz="4" w:space="0"/>
              <w:bottom w:val="single" w:color="auto" w:sz="4" w:space="0"/>
              <w:right w:val="single" w:color="auto" w:sz="4" w:space="0"/>
            </w:tcBorders>
            <w:vAlign w:val="center"/>
          </w:tcPr>
          <w:p w14:paraId="45DD80FF">
            <w:pPr>
              <w:widowControl/>
              <w:spacing w:line="280" w:lineRule="exact"/>
              <w:jc w:val="center"/>
              <w:rPr>
                <w:rFonts w:hint="eastAsia" w:ascii="仿宋_GB2312" w:hAnsi="仿宋_GB2312" w:eastAsia="仿宋_GB2312" w:cs="宋体"/>
                <w:b/>
                <w:color w:val="000000"/>
                <w:kern w:val="0"/>
                <w:sz w:val="24"/>
                <w:lang w:eastAsia="zh-CN"/>
              </w:rPr>
            </w:pPr>
            <w:r>
              <w:rPr>
                <w:rFonts w:hint="eastAsia" w:ascii="仿宋_GB2312" w:hAnsi="仿宋_GB2312" w:eastAsia="仿宋_GB2312" w:cs="宋体"/>
                <w:b/>
                <w:color w:val="000000"/>
                <w:kern w:val="0"/>
                <w:sz w:val="24"/>
                <w:lang w:eastAsia="zh-CN"/>
              </w:rPr>
              <w:t>计划检查</w:t>
            </w:r>
            <w:r>
              <w:rPr>
                <w:rFonts w:hint="eastAsia" w:ascii="仿宋_GB2312" w:hAnsi="仿宋_GB2312" w:eastAsia="仿宋_GB2312" w:cs="宋体"/>
                <w:b/>
                <w:color w:val="000000"/>
                <w:kern w:val="0"/>
                <w:sz w:val="24"/>
              </w:rPr>
              <w:t>企业</w:t>
            </w:r>
          </w:p>
        </w:tc>
        <w:tc>
          <w:tcPr>
            <w:tcW w:w="1171" w:type="dxa"/>
            <w:tcBorders>
              <w:top w:val="single" w:color="auto" w:sz="4" w:space="0"/>
              <w:left w:val="single" w:color="auto" w:sz="4" w:space="0"/>
              <w:bottom w:val="single" w:color="auto" w:sz="4" w:space="0"/>
              <w:right w:val="single" w:color="auto" w:sz="4" w:space="0"/>
            </w:tcBorders>
            <w:vAlign w:val="center"/>
          </w:tcPr>
          <w:p w14:paraId="47829455">
            <w:pPr>
              <w:widowControl/>
              <w:spacing w:line="280" w:lineRule="exact"/>
              <w:jc w:val="center"/>
              <w:rPr>
                <w:rFonts w:hint="eastAsia" w:ascii="仿宋_GB2312" w:hAnsi="仿宋_GB2312" w:eastAsia="仿宋_GB2312" w:cs="宋体"/>
                <w:b/>
                <w:color w:val="000000"/>
                <w:kern w:val="0"/>
                <w:sz w:val="24"/>
                <w:lang w:eastAsia="zh-CN"/>
              </w:rPr>
            </w:pPr>
            <w:r>
              <w:rPr>
                <w:rFonts w:hint="eastAsia" w:ascii="仿宋_GB2312" w:hAnsi="仿宋_GB2312" w:eastAsia="仿宋_GB2312" w:cs="宋体"/>
                <w:b/>
                <w:color w:val="000000"/>
                <w:kern w:val="0"/>
                <w:sz w:val="24"/>
                <w:lang w:eastAsia="zh-CN"/>
              </w:rPr>
              <w:t>备注</w:t>
            </w:r>
          </w:p>
        </w:tc>
      </w:tr>
      <w:tr w14:paraId="2BBC7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jc w:val="center"/>
        </w:trPr>
        <w:tc>
          <w:tcPr>
            <w:tcW w:w="1047" w:type="dxa"/>
            <w:vMerge w:val="restart"/>
            <w:tcBorders>
              <w:top w:val="single" w:color="auto" w:sz="4" w:space="0"/>
              <w:left w:val="single" w:color="auto" w:sz="4" w:space="0"/>
              <w:right w:val="single" w:color="auto" w:sz="4" w:space="0"/>
            </w:tcBorders>
            <w:vAlign w:val="center"/>
          </w:tcPr>
          <w:p w14:paraId="3757DA79">
            <w:pPr>
              <w:widowControl/>
              <w:spacing w:line="280" w:lineRule="exact"/>
              <w:jc w:val="center"/>
              <w:rPr>
                <w:rFonts w:hint="eastAsia" w:ascii="仿宋_GB2312" w:hAnsi="仿宋_GB2312" w:eastAsia="仿宋_GB2312" w:cs="宋体"/>
                <w:color w:val="000000"/>
                <w:kern w:val="0"/>
                <w:sz w:val="24"/>
                <w:lang w:eastAsia="zh-CN"/>
              </w:rPr>
            </w:pPr>
            <w:r>
              <w:rPr>
                <w:rFonts w:hint="eastAsia" w:ascii="仿宋_GB2312" w:hAnsi="仿宋_GB2312" w:eastAsia="仿宋_GB2312" w:cs="宋体"/>
                <w:color w:val="000000"/>
                <w:kern w:val="0"/>
                <w:sz w:val="24"/>
                <w:lang w:eastAsia="zh-CN"/>
              </w:rPr>
              <w:t>1月份</w:t>
            </w:r>
          </w:p>
        </w:tc>
        <w:tc>
          <w:tcPr>
            <w:tcW w:w="1611" w:type="dxa"/>
            <w:tcBorders>
              <w:top w:val="single" w:color="auto" w:sz="4" w:space="0"/>
              <w:left w:val="single" w:color="auto" w:sz="4" w:space="0"/>
              <w:bottom w:val="single" w:color="auto" w:sz="4" w:space="0"/>
              <w:right w:val="single" w:color="auto" w:sz="4" w:space="0"/>
            </w:tcBorders>
            <w:vAlign w:val="center"/>
          </w:tcPr>
          <w:p w14:paraId="5F78D9BC">
            <w:pPr>
              <w:widowControl/>
              <w:spacing w:line="280" w:lineRule="exact"/>
              <w:jc w:val="center"/>
              <w:rPr>
                <w:rFonts w:hint="eastAsia" w:ascii="仿宋_GB2312" w:hAnsi="仿宋_GB2312" w:eastAsia="仿宋_GB2312" w:cs="宋体"/>
                <w:color w:val="000000"/>
                <w:kern w:val="0"/>
                <w:sz w:val="24"/>
                <w:lang w:eastAsia="zh-CN"/>
              </w:rPr>
            </w:pPr>
            <w:r>
              <w:rPr>
                <w:rFonts w:hint="eastAsia" w:ascii="仿宋_GB2312" w:hAnsi="仿宋_GB2312" w:eastAsia="仿宋_GB2312" w:cs="宋体"/>
                <w:color w:val="000000"/>
                <w:kern w:val="0"/>
                <w:sz w:val="24"/>
                <w:lang w:eastAsia="zh-CN"/>
              </w:rPr>
              <w:t>园区内</w:t>
            </w:r>
          </w:p>
        </w:tc>
        <w:tc>
          <w:tcPr>
            <w:tcW w:w="5670" w:type="dxa"/>
            <w:tcBorders>
              <w:top w:val="single" w:color="auto" w:sz="4" w:space="0"/>
              <w:left w:val="single" w:color="auto" w:sz="4" w:space="0"/>
              <w:bottom w:val="single" w:color="auto" w:sz="4" w:space="0"/>
              <w:right w:val="single" w:color="auto" w:sz="4" w:space="0"/>
            </w:tcBorders>
            <w:vAlign w:val="center"/>
          </w:tcPr>
          <w:p w14:paraId="1F8689B6">
            <w:pPr>
              <w:widowControl/>
              <w:spacing w:line="280" w:lineRule="exact"/>
              <w:jc w:val="center"/>
              <w:rPr>
                <w:rFonts w:hint="eastAsia" w:ascii="仿宋_GB2312" w:hAnsi="仿宋_GB2312" w:eastAsia="仿宋_GB2312" w:cs="宋体"/>
                <w:color w:val="000000"/>
                <w:kern w:val="0"/>
                <w:sz w:val="24"/>
                <w:lang w:eastAsia="zh-CN"/>
              </w:rPr>
            </w:pPr>
            <w:r>
              <w:rPr>
                <w:rFonts w:hint="eastAsia" w:ascii="仿宋_GB2312" w:hAnsi="仿宋_GB2312" w:eastAsia="仿宋_GB2312" w:cs="宋体"/>
                <w:color w:val="000000"/>
                <w:kern w:val="0"/>
                <w:sz w:val="24"/>
                <w:lang w:val="en-US" w:eastAsia="zh-CN"/>
              </w:rPr>
              <w:t>湖南新汇制药有限公司、湖南华腾医药有限公司、湖南广欣新材料有限公司、湖南冰溪生物科技有限公司</w:t>
            </w:r>
          </w:p>
        </w:tc>
        <w:tc>
          <w:tcPr>
            <w:tcW w:w="1171" w:type="dxa"/>
            <w:tcBorders>
              <w:top w:val="single" w:color="auto" w:sz="4" w:space="0"/>
              <w:left w:val="single" w:color="auto" w:sz="4" w:space="0"/>
              <w:right w:val="single" w:color="auto" w:sz="4" w:space="0"/>
            </w:tcBorders>
            <w:vAlign w:val="center"/>
          </w:tcPr>
          <w:p w14:paraId="5D0B0DD8">
            <w:pPr>
              <w:widowControl/>
              <w:spacing w:line="280" w:lineRule="exact"/>
              <w:jc w:val="both"/>
              <w:rPr>
                <w:rFonts w:hint="default" w:ascii="仿宋_GB2312" w:hAnsi="仿宋_GB2312" w:eastAsia="仿宋_GB2312" w:cs="宋体"/>
                <w:b w:val="0"/>
                <w:bCs w:val="0"/>
                <w:color w:val="000000"/>
                <w:kern w:val="0"/>
                <w:sz w:val="24"/>
                <w:lang w:val="en-US" w:eastAsia="zh-CN"/>
              </w:rPr>
            </w:pPr>
          </w:p>
        </w:tc>
      </w:tr>
      <w:tr w14:paraId="08666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7" w:type="dxa"/>
            <w:vMerge w:val="continue"/>
            <w:tcBorders>
              <w:left w:val="single" w:color="auto" w:sz="4" w:space="0"/>
              <w:bottom w:val="single" w:color="auto" w:sz="4" w:space="0"/>
              <w:right w:val="single" w:color="auto" w:sz="4" w:space="0"/>
            </w:tcBorders>
            <w:vAlign w:val="center"/>
          </w:tcPr>
          <w:p w14:paraId="77B6BDE7">
            <w:pPr>
              <w:widowControl/>
              <w:spacing w:line="280" w:lineRule="exact"/>
              <w:jc w:val="center"/>
              <w:rPr>
                <w:rFonts w:hint="eastAsia" w:ascii="仿宋_GB2312" w:hAnsi="仿宋_GB2312" w:eastAsia="仿宋_GB2312" w:cs="宋体"/>
                <w:color w:val="000000"/>
                <w:kern w:val="0"/>
                <w:sz w:val="24"/>
                <w:lang w:eastAsia="zh-CN"/>
              </w:rPr>
            </w:pPr>
          </w:p>
        </w:tc>
        <w:tc>
          <w:tcPr>
            <w:tcW w:w="1611" w:type="dxa"/>
            <w:tcBorders>
              <w:top w:val="single" w:color="auto" w:sz="4" w:space="0"/>
              <w:left w:val="single" w:color="auto" w:sz="4" w:space="0"/>
              <w:bottom w:val="single" w:color="auto" w:sz="4" w:space="0"/>
              <w:right w:val="single" w:color="auto" w:sz="4" w:space="0"/>
            </w:tcBorders>
            <w:vAlign w:val="center"/>
          </w:tcPr>
          <w:p w14:paraId="0CED7D30">
            <w:pPr>
              <w:widowControl/>
              <w:spacing w:line="280" w:lineRule="exact"/>
              <w:jc w:val="center"/>
              <w:rPr>
                <w:rFonts w:hint="eastAsia" w:ascii="仿宋_GB2312" w:hAnsi="仿宋_GB2312" w:eastAsia="仿宋_GB2312" w:cs="宋体"/>
                <w:color w:val="000000"/>
                <w:kern w:val="0"/>
                <w:sz w:val="24"/>
                <w:lang w:eastAsia="zh-CN"/>
              </w:rPr>
            </w:pPr>
            <w:r>
              <w:rPr>
                <w:rFonts w:hint="eastAsia" w:ascii="仿宋_GB2312" w:hAnsi="仿宋_GB2312" w:eastAsia="仿宋_GB2312" w:cs="宋体"/>
                <w:color w:val="000000"/>
                <w:kern w:val="0"/>
                <w:sz w:val="24"/>
                <w:lang w:eastAsia="zh-CN"/>
              </w:rPr>
              <w:t>园区外</w:t>
            </w:r>
          </w:p>
        </w:tc>
        <w:tc>
          <w:tcPr>
            <w:tcW w:w="5670" w:type="dxa"/>
            <w:tcBorders>
              <w:top w:val="single" w:color="auto" w:sz="4" w:space="0"/>
              <w:left w:val="single" w:color="auto" w:sz="4" w:space="0"/>
              <w:bottom w:val="single" w:color="auto" w:sz="4" w:space="0"/>
              <w:right w:val="single" w:color="auto" w:sz="4" w:space="0"/>
            </w:tcBorders>
            <w:vAlign w:val="center"/>
          </w:tcPr>
          <w:p w14:paraId="37F8395F">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val="en-US" w:eastAsia="zh-CN"/>
              </w:rPr>
              <w:t>长沙市望城区兴平烟花鞭炮有限公司、湖南蛙蛙优选烟花爆竹销售有限公司</w:t>
            </w:r>
          </w:p>
        </w:tc>
        <w:tc>
          <w:tcPr>
            <w:tcW w:w="1171" w:type="dxa"/>
            <w:tcBorders>
              <w:left w:val="single" w:color="auto" w:sz="4" w:space="0"/>
              <w:right w:val="single" w:color="auto" w:sz="4" w:space="0"/>
            </w:tcBorders>
            <w:vAlign w:val="center"/>
          </w:tcPr>
          <w:p w14:paraId="51CAC2E4">
            <w:pPr>
              <w:widowControl/>
              <w:spacing w:line="280" w:lineRule="exact"/>
              <w:jc w:val="both"/>
              <w:rPr>
                <w:rFonts w:hint="default" w:ascii="仿宋_GB2312" w:hAnsi="仿宋_GB2312" w:eastAsia="仿宋_GB2312" w:cs="宋体"/>
                <w:b w:val="0"/>
                <w:bCs w:val="0"/>
                <w:color w:val="000000"/>
                <w:kern w:val="0"/>
                <w:sz w:val="24"/>
                <w:lang w:val="en-US" w:eastAsia="zh-CN"/>
              </w:rPr>
            </w:pPr>
          </w:p>
        </w:tc>
      </w:tr>
      <w:tr w14:paraId="405E9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7" w:type="dxa"/>
            <w:vMerge w:val="restart"/>
            <w:tcBorders>
              <w:top w:val="single" w:color="auto" w:sz="4" w:space="0"/>
              <w:left w:val="single" w:color="auto" w:sz="4" w:space="0"/>
              <w:right w:val="single" w:color="auto" w:sz="4" w:space="0"/>
            </w:tcBorders>
            <w:vAlign w:val="center"/>
          </w:tcPr>
          <w:p w14:paraId="45A4992E">
            <w:pPr>
              <w:widowControl/>
              <w:spacing w:line="280" w:lineRule="exact"/>
              <w:jc w:val="center"/>
              <w:rPr>
                <w:rFonts w:hint="eastAsia" w:ascii="仿宋_GB2312" w:hAnsi="仿宋_GB2312" w:eastAsia="仿宋_GB2312" w:cs="宋体"/>
                <w:color w:val="000000"/>
                <w:kern w:val="0"/>
                <w:sz w:val="24"/>
                <w:lang w:eastAsia="zh-CN"/>
              </w:rPr>
            </w:pPr>
            <w:r>
              <w:rPr>
                <w:rFonts w:hint="eastAsia" w:ascii="仿宋_GB2312" w:hAnsi="仿宋_GB2312" w:eastAsia="仿宋_GB2312" w:cs="宋体"/>
                <w:color w:val="000000"/>
                <w:kern w:val="0"/>
                <w:sz w:val="24"/>
                <w:lang w:eastAsia="zh-CN"/>
              </w:rPr>
              <w:t>2月份</w:t>
            </w:r>
          </w:p>
        </w:tc>
        <w:tc>
          <w:tcPr>
            <w:tcW w:w="1611" w:type="dxa"/>
            <w:tcBorders>
              <w:top w:val="single" w:color="auto" w:sz="4" w:space="0"/>
              <w:left w:val="single" w:color="auto" w:sz="4" w:space="0"/>
              <w:bottom w:val="single" w:color="auto" w:sz="4" w:space="0"/>
              <w:right w:val="single" w:color="auto" w:sz="4" w:space="0"/>
            </w:tcBorders>
            <w:vAlign w:val="center"/>
          </w:tcPr>
          <w:p w14:paraId="35DBBC7C">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eastAsia="zh-CN"/>
              </w:rPr>
              <w:t>园区内</w:t>
            </w:r>
          </w:p>
        </w:tc>
        <w:tc>
          <w:tcPr>
            <w:tcW w:w="5670" w:type="dxa"/>
            <w:tcBorders>
              <w:top w:val="single" w:color="auto" w:sz="4" w:space="0"/>
              <w:left w:val="single" w:color="auto" w:sz="4" w:space="0"/>
              <w:bottom w:val="single" w:color="auto" w:sz="4" w:space="0"/>
              <w:right w:val="single" w:color="auto" w:sz="4" w:space="0"/>
            </w:tcBorders>
            <w:vAlign w:val="center"/>
          </w:tcPr>
          <w:p w14:paraId="78446996">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val="en-US" w:eastAsia="zh-CN"/>
              </w:rPr>
              <w:t>湖南恒旺新材料科技有限公司、湖南飞鹿新材料有限公司</w:t>
            </w:r>
          </w:p>
        </w:tc>
        <w:tc>
          <w:tcPr>
            <w:tcW w:w="1171" w:type="dxa"/>
            <w:tcBorders>
              <w:left w:val="single" w:color="auto" w:sz="4" w:space="0"/>
              <w:right w:val="single" w:color="auto" w:sz="4" w:space="0"/>
            </w:tcBorders>
            <w:vAlign w:val="center"/>
          </w:tcPr>
          <w:p w14:paraId="54D96107">
            <w:pPr>
              <w:widowControl/>
              <w:spacing w:line="280" w:lineRule="exact"/>
              <w:jc w:val="both"/>
              <w:rPr>
                <w:rFonts w:hint="default" w:ascii="仿宋_GB2312" w:hAnsi="仿宋_GB2312" w:eastAsia="仿宋_GB2312" w:cs="宋体"/>
                <w:b w:val="0"/>
                <w:bCs w:val="0"/>
                <w:color w:val="000000"/>
                <w:kern w:val="0"/>
                <w:sz w:val="24"/>
                <w:lang w:val="en-US" w:eastAsia="zh-CN"/>
              </w:rPr>
            </w:pPr>
          </w:p>
        </w:tc>
      </w:tr>
      <w:tr w14:paraId="33EA8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7" w:type="dxa"/>
            <w:vMerge w:val="continue"/>
            <w:tcBorders>
              <w:left w:val="single" w:color="auto" w:sz="4" w:space="0"/>
              <w:bottom w:val="single" w:color="auto" w:sz="4" w:space="0"/>
              <w:right w:val="single" w:color="auto" w:sz="4" w:space="0"/>
            </w:tcBorders>
            <w:vAlign w:val="center"/>
          </w:tcPr>
          <w:p w14:paraId="5FE48031">
            <w:pPr>
              <w:widowControl/>
              <w:spacing w:line="280" w:lineRule="exact"/>
              <w:jc w:val="center"/>
              <w:rPr>
                <w:rFonts w:hint="eastAsia" w:ascii="仿宋_GB2312" w:hAnsi="仿宋_GB2312" w:eastAsia="仿宋_GB2312" w:cs="宋体"/>
                <w:color w:val="000000"/>
                <w:kern w:val="0"/>
                <w:sz w:val="24"/>
                <w:lang w:eastAsia="zh-CN"/>
              </w:rPr>
            </w:pPr>
          </w:p>
        </w:tc>
        <w:tc>
          <w:tcPr>
            <w:tcW w:w="1611" w:type="dxa"/>
            <w:tcBorders>
              <w:top w:val="single" w:color="auto" w:sz="4" w:space="0"/>
              <w:left w:val="single" w:color="auto" w:sz="4" w:space="0"/>
              <w:bottom w:val="single" w:color="auto" w:sz="4" w:space="0"/>
              <w:right w:val="single" w:color="auto" w:sz="4" w:space="0"/>
            </w:tcBorders>
            <w:vAlign w:val="center"/>
          </w:tcPr>
          <w:p w14:paraId="74EA0364">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eastAsia="zh-CN"/>
              </w:rPr>
              <w:t>园区外</w:t>
            </w:r>
          </w:p>
        </w:tc>
        <w:tc>
          <w:tcPr>
            <w:tcW w:w="5670" w:type="dxa"/>
            <w:tcBorders>
              <w:top w:val="single" w:color="auto" w:sz="4" w:space="0"/>
              <w:left w:val="single" w:color="auto" w:sz="4" w:space="0"/>
              <w:bottom w:val="single" w:color="auto" w:sz="4" w:space="0"/>
              <w:right w:val="single" w:color="auto" w:sz="4" w:space="0"/>
            </w:tcBorders>
            <w:vAlign w:val="center"/>
          </w:tcPr>
          <w:p w14:paraId="7E143BC8">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val="en-US" w:eastAsia="zh-CN"/>
              </w:rPr>
              <w:t>长沙市望喜烟花爆竹有限公司、湖南创驰石化有限公司长沙滨江加油站、</w:t>
            </w:r>
            <w:r>
              <w:rPr>
                <w:rFonts w:hint="eastAsia" w:ascii="仿宋_GB2312" w:hAnsi="仿宋_GB2312" w:eastAsia="仿宋_GB2312" w:cs="宋体"/>
                <w:color w:val="000000"/>
                <w:kern w:val="0"/>
                <w:sz w:val="24"/>
                <w:lang w:eastAsia="zh-CN"/>
              </w:rPr>
              <w:t>湖南和顺铜官石油有限公司长沙航电加油站、湖南和顺铜官石油有限公司长沙连江加油站、</w:t>
            </w:r>
            <w:r>
              <w:rPr>
                <w:rFonts w:hint="eastAsia" w:ascii="仿宋_GB2312" w:hAnsi="仿宋_GB2312" w:eastAsia="仿宋_GB2312" w:cs="宋体"/>
                <w:color w:val="000000"/>
                <w:kern w:val="0"/>
                <w:sz w:val="24"/>
                <w:lang w:val="en-US" w:eastAsia="zh-CN"/>
              </w:rPr>
              <w:t>长沙市望城区振兴石油有限公司振兴加油站</w:t>
            </w:r>
          </w:p>
        </w:tc>
        <w:tc>
          <w:tcPr>
            <w:tcW w:w="1171" w:type="dxa"/>
            <w:tcBorders>
              <w:left w:val="single" w:color="auto" w:sz="4" w:space="0"/>
              <w:right w:val="single" w:color="auto" w:sz="4" w:space="0"/>
            </w:tcBorders>
            <w:vAlign w:val="center"/>
          </w:tcPr>
          <w:p w14:paraId="0D204049">
            <w:pPr>
              <w:widowControl/>
              <w:spacing w:line="280" w:lineRule="exact"/>
              <w:jc w:val="both"/>
              <w:rPr>
                <w:rFonts w:hint="default" w:ascii="仿宋_GB2312" w:hAnsi="仿宋_GB2312" w:eastAsia="仿宋_GB2312" w:cs="宋体"/>
                <w:b w:val="0"/>
                <w:bCs w:val="0"/>
                <w:color w:val="000000"/>
                <w:kern w:val="0"/>
                <w:sz w:val="24"/>
                <w:lang w:val="en-US" w:eastAsia="zh-CN"/>
              </w:rPr>
            </w:pPr>
          </w:p>
        </w:tc>
      </w:tr>
      <w:tr w14:paraId="0400E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1047" w:type="dxa"/>
            <w:vMerge w:val="restart"/>
            <w:tcBorders>
              <w:top w:val="single" w:color="auto" w:sz="4" w:space="0"/>
              <w:left w:val="single" w:color="auto" w:sz="4" w:space="0"/>
              <w:right w:val="single" w:color="auto" w:sz="4" w:space="0"/>
            </w:tcBorders>
            <w:vAlign w:val="center"/>
          </w:tcPr>
          <w:p w14:paraId="222AD7DA">
            <w:pPr>
              <w:widowControl/>
              <w:spacing w:line="280" w:lineRule="exact"/>
              <w:jc w:val="center"/>
              <w:rPr>
                <w:rFonts w:hint="eastAsia" w:ascii="仿宋_GB2312" w:hAnsi="仿宋_GB2312" w:eastAsia="仿宋_GB2312" w:cs="宋体"/>
                <w:color w:val="000000"/>
                <w:kern w:val="0"/>
                <w:sz w:val="24"/>
                <w:lang w:eastAsia="zh-CN"/>
              </w:rPr>
            </w:pPr>
            <w:r>
              <w:rPr>
                <w:rFonts w:hint="eastAsia" w:ascii="仿宋_GB2312" w:hAnsi="仿宋_GB2312" w:eastAsia="仿宋_GB2312" w:cs="宋体"/>
                <w:color w:val="000000"/>
                <w:kern w:val="0"/>
                <w:sz w:val="24"/>
                <w:lang w:eastAsia="zh-CN"/>
              </w:rPr>
              <w:t>3月份</w:t>
            </w:r>
          </w:p>
        </w:tc>
        <w:tc>
          <w:tcPr>
            <w:tcW w:w="1611" w:type="dxa"/>
            <w:tcBorders>
              <w:top w:val="single" w:color="auto" w:sz="4" w:space="0"/>
              <w:left w:val="single" w:color="auto" w:sz="4" w:space="0"/>
              <w:bottom w:val="single" w:color="auto" w:sz="4" w:space="0"/>
              <w:right w:val="single" w:color="auto" w:sz="4" w:space="0"/>
            </w:tcBorders>
            <w:vAlign w:val="center"/>
          </w:tcPr>
          <w:p w14:paraId="4C880C98">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eastAsia="zh-CN"/>
              </w:rPr>
              <w:t>园区内</w:t>
            </w:r>
          </w:p>
        </w:tc>
        <w:tc>
          <w:tcPr>
            <w:tcW w:w="5670" w:type="dxa"/>
            <w:tcBorders>
              <w:top w:val="single" w:color="auto" w:sz="4" w:space="0"/>
              <w:left w:val="single" w:color="auto" w:sz="4" w:space="0"/>
              <w:bottom w:val="single" w:color="auto" w:sz="4" w:space="0"/>
              <w:right w:val="single" w:color="auto" w:sz="4" w:space="0"/>
            </w:tcBorders>
            <w:vAlign w:val="center"/>
          </w:tcPr>
          <w:p w14:paraId="0B16ADCA">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val="en-US" w:eastAsia="zh-CN"/>
              </w:rPr>
              <w:t>湖南湘农动物药业有限公司、湖南方盛绿色合成制药有限公司、金驰能源材料有限公司、长沙众城石油化工有限责任公司</w:t>
            </w:r>
          </w:p>
        </w:tc>
        <w:tc>
          <w:tcPr>
            <w:tcW w:w="1171" w:type="dxa"/>
            <w:tcBorders>
              <w:left w:val="single" w:color="auto" w:sz="4" w:space="0"/>
              <w:bottom w:val="single" w:color="auto" w:sz="4" w:space="0"/>
              <w:right w:val="single" w:color="auto" w:sz="4" w:space="0"/>
            </w:tcBorders>
            <w:vAlign w:val="center"/>
          </w:tcPr>
          <w:p w14:paraId="1362730A">
            <w:pPr>
              <w:widowControl/>
              <w:spacing w:line="280" w:lineRule="exact"/>
              <w:jc w:val="both"/>
              <w:rPr>
                <w:rFonts w:hint="default" w:ascii="仿宋_GB2312" w:hAnsi="仿宋_GB2312" w:eastAsia="仿宋_GB2312" w:cs="宋体"/>
                <w:b w:val="0"/>
                <w:bCs w:val="0"/>
                <w:color w:val="000000"/>
                <w:kern w:val="0"/>
                <w:sz w:val="24"/>
                <w:lang w:val="en-US" w:eastAsia="zh-CN"/>
              </w:rPr>
            </w:pPr>
          </w:p>
        </w:tc>
      </w:tr>
      <w:tr w14:paraId="145C1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1047" w:type="dxa"/>
            <w:vMerge w:val="continue"/>
            <w:tcBorders>
              <w:left w:val="single" w:color="auto" w:sz="4" w:space="0"/>
              <w:bottom w:val="single" w:color="auto" w:sz="4" w:space="0"/>
              <w:right w:val="single" w:color="auto" w:sz="4" w:space="0"/>
            </w:tcBorders>
            <w:vAlign w:val="center"/>
          </w:tcPr>
          <w:p w14:paraId="53B4AA1C">
            <w:pPr>
              <w:widowControl/>
              <w:spacing w:line="280" w:lineRule="exact"/>
              <w:jc w:val="center"/>
              <w:rPr>
                <w:rFonts w:hint="eastAsia" w:ascii="仿宋_GB2312" w:hAnsi="仿宋_GB2312" w:eastAsia="仿宋_GB2312" w:cs="宋体"/>
                <w:color w:val="000000"/>
                <w:kern w:val="0"/>
                <w:sz w:val="24"/>
                <w:lang w:eastAsia="zh-CN"/>
              </w:rPr>
            </w:pPr>
          </w:p>
        </w:tc>
        <w:tc>
          <w:tcPr>
            <w:tcW w:w="1611" w:type="dxa"/>
            <w:tcBorders>
              <w:top w:val="single" w:color="auto" w:sz="4" w:space="0"/>
              <w:left w:val="single" w:color="auto" w:sz="4" w:space="0"/>
              <w:bottom w:val="single" w:color="auto" w:sz="4" w:space="0"/>
              <w:right w:val="single" w:color="auto" w:sz="4" w:space="0"/>
            </w:tcBorders>
            <w:vAlign w:val="center"/>
          </w:tcPr>
          <w:p w14:paraId="36F62D84">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eastAsia="zh-CN"/>
              </w:rPr>
              <w:t>园区外</w:t>
            </w:r>
          </w:p>
        </w:tc>
        <w:tc>
          <w:tcPr>
            <w:tcW w:w="5670" w:type="dxa"/>
            <w:tcBorders>
              <w:top w:val="single" w:color="auto" w:sz="4" w:space="0"/>
              <w:left w:val="single" w:color="auto" w:sz="4" w:space="0"/>
              <w:bottom w:val="single" w:color="auto" w:sz="4" w:space="0"/>
              <w:right w:val="single" w:color="auto" w:sz="4" w:space="0"/>
            </w:tcBorders>
            <w:vAlign w:val="center"/>
          </w:tcPr>
          <w:p w14:paraId="7D0296B1">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val="en-US" w:eastAsia="zh-CN"/>
              </w:rPr>
              <w:t>湖南三湘中药饮片有限公司、望城诚信低碳能源有限公司黄金加油站、长沙高胜腾飞加油站有限公司、长沙市望城区中磊石化有限公司、长沙市中溧石化能源有限公司丁字湾加油站</w:t>
            </w:r>
          </w:p>
        </w:tc>
        <w:tc>
          <w:tcPr>
            <w:tcW w:w="1171" w:type="dxa"/>
            <w:tcBorders>
              <w:left w:val="single" w:color="auto" w:sz="4" w:space="0"/>
              <w:bottom w:val="single" w:color="auto" w:sz="4" w:space="0"/>
              <w:right w:val="single" w:color="auto" w:sz="4" w:space="0"/>
            </w:tcBorders>
            <w:vAlign w:val="center"/>
          </w:tcPr>
          <w:p w14:paraId="05C39B84">
            <w:pPr>
              <w:widowControl/>
              <w:spacing w:line="280" w:lineRule="exact"/>
              <w:jc w:val="both"/>
              <w:rPr>
                <w:rFonts w:hint="default" w:ascii="仿宋_GB2312" w:hAnsi="仿宋_GB2312" w:eastAsia="仿宋_GB2312" w:cs="宋体"/>
                <w:b w:val="0"/>
                <w:bCs w:val="0"/>
                <w:color w:val="000000"/>
                <w:kern w:val="0"/>
                <w:sz w:val="24"/>
                <w:lang w:val="en-US" w:eastAsia="zh-CN"/>
              </w:rPr>
            </w:pPr>
          </w:p>
        </w:tc>
      </w:tr>
      <w:tr w14:paraId="00DF5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1047" w:type="dxa"/>
            <w:vMerge w:val="restart"/>
            <w:tcBorders>
              <w:top w:val="single" w:color="auto" w:sz="4" w:space="0"/>
              <w:left w:val="single" w:color="auto" w:sz="4" w:space="0"/>
              <w:right w:val="single" w:color="auto" w:sz="4" w:space="0"/>
            </w:tcBorders>
            <w:vAlign w:val="center"/>
          </w:tcPr>
          <w:p w14:paraId="5F2B64F8">
            <w:pPr>
              <w:widowControl/>
              <w:spacing w:line="280" w:lineRule="exact"/>
              <w:jc w:val="center"/>
              <w:rPr>
                <w:rFonts w:hint="eastAsia" w:ascii="仿宋_GB2312" w:hAnsi="仿宋_GB2312" w:eastAsia="仿宋_GB2312" w:cs="宋体"/>
                <w:color w:val="000000"/>
                <w:kern w:val="0"/>
                <w:sz w:val="24"/>
                <w:lang w:eastAsia="zh-CN"/>
              </w:rPr>
            </w:pPr>
            <w:r>
              <w:rPr>
                <w:rFonts w:hint="eastAsia" w:ascii="仿宋_GB2312" w:hAnsi="仿宋_GB2312" w:eastAsia="仿宋_GB2312" w:cs="宋体"/>
                <w:color w:val="000000"/>
                <w:kern w:val="0"/>
                <w:sz w:val="24"/>
                <w:lang w:eastAsia="zh-CN"/>
              </w:rPr>
              <w:t>4月份</w:t>
            </w:r>
          </w:p>
        </w:tc>
        <w:tc>
          <w:tcPr>
            <w:tcW w:w="1611" w:type="dxa"/>
            <w:tcBorders>
              <w:top w:val="single" w:color="auto" w:sz="4" w:space="0"/>
              <w:left w:val="single" w:color="auto" w:sz="4" w:space="0"/>
              <w:bottom w:val="single" w:color="auto" w:sz="4" w:space="0"/>
              <w:right w:val="single" w:color="auto" w:sz="4" w:space="0"/>
            </w:tcBorders>
            <w:vAlign w:val="center"/>
          </w:tcPr>
          <w:p w14:paraId="68177010">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eastAsia="zh-CN"/>
              </w:rPr>
              <w:t>园区内</w:t>
            </w:r>
          </w:p>
        </w:tc>
        <w:tc>
          <w:tcPr>
            <w:tcW w:w="5670" w:type="dxa"/>
            <w:tcBorders>
              <w:top w:val="single" w:color="auto" w:sz="4" w:space="0"/>
              <w:left w:val="single" w:color="auto" w:sz="4" w:space="0"/>
              <w:bottom w:val="single" w:color="auto" w:sz="4" w:space="0"/>
              <w:right w:val="single" w:color="auto" w:sz="4" w:space="0"/>
            </w:tcBorders>
            <w:vAlign w:val="center"/>
          </w:tcPr>
          <w:p w14:paraId="71B2DCEB">
            <w:pPr>
              <w:widowControl/>
              <w:spacing w:line="280" w:lineRule="exact"/>
              <w:jc w:val="center"/>
              <w:rPr>
                <w:rFonts w:hint="default"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val="en-US" w:eastAsia="zh-CN"/>
              </w:rPr>
              <w:t>长沙新德航化工有限公司、长沙宏桥建材有限公司、长沙罗斯科技有限公司、长沙铭杰新材料有限公司</w:t>
            </w:r>
          </w:p>
        </w:tc>
        <w:tc>
          <w:tcPr>
            <w:tcW w:w="1171" w:type="dxa"/>
            <w:tcBorders>
              <w:top w:val="single" w:color="auto" w:sz="4" w:space="0"/>
              <w:left w:val="single" w:color="auto" w:sz="4" w:space="0"/>
              <w:right w:val="single" w:color="auto" w:sz="4" w:space="0"/>
            </w:tcBorders>
            <w:vAlign w:val="center"/>
          </w:tcPr>
          <w:p w14:paraId="05F7EFC4">
            <w:pPr>
              <w:widowControl/>
              <w:spacing w:line="280" w:lineRule="exact"/>
              <w:jc w:val="both"/>
              <w:rPr>
                <w:rFonts w:hint="default"/>
                <w:lang w:val="en-US" w:eastAsia="zh-CN"/>
              </w:rPr>
            </w:pPr>
          </w:p>
        </w:tc>
      </w:tr>
      <w:tr w14:paraId="24CE7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047" w:type="dxa"/>
            <w:vMerge w:val="continue"/>
            <w:tcBorders>
              <w:left w:val="single" w:color="auto" w:sz="4" w:space="0"/>
              <w:bottom w:val="single" w:color="auto" w:sz="4" w:space="0"/>
              <w:right w:val="single" w:color="auto" w:sz="4" w:space="0"/>
            </w:tcBorders>
            <w:vAlign w:val="center"/>
          </w:tcPr>
          <w:p w14:paraId="773D795B">
            <w:pPr>
              <w:widowControl/>
              <w:spacing w:line="280" w:lineRule="exact"/>
              <w:jc w:val="center"/>
              <w:rPr>
                <w:rFonts w:hint="eastAsia" w:ascii="仿宋_GB2312" w:hAnsi="仿宋_GB2312" w:eastAsia="仿宋_GB2312" w:cs="宋体"/>
                <w:color w:val="000000"/>
                <w:kern w:val="0"/>
                <w:sz w:val="24"/>
                <w:lang w:eastAsia="zh-CN"/>
              </w:rPr>
            </w:pPr>
          </w:p>
        </w:tc>
        <w:tc>
          <w:tcPr>
            <w:tcW w:w="1611" w:type="dxa"/>
            <w:tcBorders>
              <w:top w:val="single" w:color="auto" w:sz="4" w:space="0"/>
              <w:left w:val="single" w:color="auto" w:sz="4" w:space="0"/>
              <w:bottom w:val="single" w:color="auto" w:sz="4" w:space="0"/>
              <w:right w:val="single" w:color="auto" w:sz="4" w:space="0"/>
            </w:tcBorders>
            <w:vAlign w:val="center"/>
          </w:tcPr>
          <w:p w14:paraId="4A44E5AF">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eastAsia="zh-CN"/>
              </w:rPr>
              <w:t>园区外</w:t>
            </w:r>
          </w:p>
        </w:tc>
        <w:tc>
          <w:tcPr>
            <w:tcW w:w="5670" w:type="dxa"/>
            <w:tcBorders>
              <w:top w:val="single" w:color="auto" w:sz="4" w:space="0"/>
              <w:left w:val="single" w:color="auto" w:sz="4" w:space="0"/>
              <w:bottom w:val="single" w:color="auto" w:sz="4" w:space="0"/>
              <w:right w:val="single" w:color="auto" w:sz="4" w:space="0"/>
            </w:tcBorders>
            <w:vAlign w:val="center"/>
          </w:tcPr>
          <w:p w14:paraId="7668A284">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val="en-US" w:eastAsia="zh-CN"/>
              </w:rPr>
              <w:t>湖南湘隆仓储有限公司、长沙市宇仑石化有限公司、新化湘中石油化工销售有限责任公司靖港三角坪加油站、中国石油天然气股份有限公司湖南销售分公司望城区航空路加油站、中国石油天然气股份有限公司湖南销售分公司望城区梅花岭加油站、</w:t>
            </w:r>
            <w:r>
              <w:rPr>
                <w:rFonts w:hint="eastAsia" w:ascii="仿宋_GB2312" w:hAnsi="仿宋_GB2312" w:eastAsia="仿宋_GB2312" w:cs="宋体"/>
                <w:color w:val="000000"/>
                <w:kern w:val="0"/>
                <w:sz w:val="24"/>
                <w:lang w:eastAsia="zh-CN"/>
              </w:rPr>
              <w:t>湖南和顺铜官石油有限公司长沙雷高加油站</w:t>
            </w:r>
          </w:p>
        </w:tc>
        <w:tc>
          <w:tcPr>
            <w:tcW w:w="1171" w:type="dxa"/>
            <w:tcBorders>
              <w:left w:val="single" w:color="auto" w:sz="4" w:space="0"/>
              <w:right w:val="single" w:color="auto" w:sz="4" w:space="0"/>
            </w:tcBorders>
            <w:vAlign w:val="center"/>
          </w:tcPr>
          <w:p w14:paraId="1BE5BB39">
            <w:pPr>
              <w:widowControl/>
              <w:spacing w:line="280" w:lineRule="exact"/>
              <w:jc w:val="both"/>
              <w:rPr>
                <w:rFonts w:hint="default" w:ascii="仿宋_GB2312" w:hAnsi="仿宋_GB2312" w:eastAsia="仿宋_GB2312" w:cs="宋体"/>
                <w:b w:val="0"/>
                <w:bCs w:val="0"/>
                <w:color w:val="000000"/>
                <w:kern w:val="0"/>
                <w:sz w:val="24"/>
                <w:lang w:val="en-US" w:eastAsia="zh-CN"/>
              </w:rPr>
            </w:pPr>
          </w:p>
        </w:tc>
      </w:tr>
      <w:tr w14:paraId="772D9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1047" w:type="dxa"/>
            <w:vMerge w:val="restart"/>
            <w:tcBorders>
              <w:top w:val="single" w:color="auto" w:sz="4" w:space="0"/>
              <w:left w:val="single" w:color="auto" w:sz="4" w:space="0"/>
              <w:right w:val="single" w:color="auto" w:sz="4" w:space="0"/>
            </w:tcBorders>
            <w:vAlign w:val="center"/>
          </w:tcPr>
          <w:p w14:paraId="1BA31E46">
            <w:pPr>
              <w:widowControl/>
              <w:spacing w:line="280" w:lineRule="exact"/>
              <w:jc w:val="center"/>
              <w:rPr>
                <w:rFonts w:hint="eastAsia" w:ascii="仿宋_GB2312" w:hAnsi="仿宋_GB2312" w:eastAsia="仿宋_GB2312" w:cs="宋体"/>
                <w:color w:val="000000"/>
                <w:kern w:val="0"/>
                <w:sz w:val="24"/>
                <w:lang w:eastAsia="zh-CN"/>
              </w:rPr>
            </w:pPr>
            <w:r>
              <w:rPr>
                <w:rFonts w:hint="eastAsia" w:ascii="仿宋_GB2312" w:hAnsi="仿宋_GB2312" w:eastAsia="仿宋_GB2312" w:cs="宋体"/>
                <w:color w:val="000000"/>
                <w:kern w:val="0"/>
                <w:sz w:val="24"/>
                <w:lang w:eastAsia="zh-CN"/>
              </w:rPr>
              <w:t>5月份</w:t>
            </w:r>
          </w:p>
        </w:tc>
        <w:tc>
          <w:tcPr>
            <w:tcW w:w="1611" w:type="dxa"/>
            <w:tcBorders>
              <w:top w:val="single" w:color="auto" w:sz="4" w:space="0"/>
              <w:left w:val="single" w:color="auto" w:sz="4" w:space="0"/>
              <w:bottom w:val="single" w:color="auto" w:sz="4" w:space="0"/>
              <w:right w:val="single" w:color="auto" w:sz="4" w:space="0"/>
            </w:tcBorders>
            <w:vAlign w:val="center"/>
          </w:tcPr>
          <w:p w14:paraId="289E2F84">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eastAsia="zh-CN"/>
              </w:rPr>
              <w:t>园区内</w:t>
            </w:r>
          </w:p>
        </w:tc>
        <w:tc>
          <w:tcPr>
            <w:tcW w:w="5670" w:type="dxa"/>
            <w:tcBorders>
              <w:top w:val="single" w:color="auto" w:sz="4" w:space="0"/>
              <w:left w:val="single" w:color="auto" w:sz="4" w:space="0"/>
              <w:bottom w:val="single" w:color="auto" w:sz="4" w:space="0"/>
              <w:right w:val="single" w:color="auto" w:sz="4" w:space="0"/>
            </w:tcBorders>
            <w:vAlign w:val="center"/>
          </w:tcPr>
          <w:p w14:paraId="3B8568AF">
            <w:pPr>
              <w:widowControl/>
              <w:spacing w:line="280" w:lineRule="exact"/>
              <w:jc w:val="center"/>
              <w:rPr>
                <w:rFonts w:hint="default"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val="en-US" w:eastAsia="zh-CN"/>
              </w:rPr>
              <w:t>长沙固邦新材料有限公司、湖南沃特邦恩新材料有限公司、长沙市湘鼎涂料有限公司、华新希杰斯建材科技（长沙）有限公司</w:t>
            </w:r>
          </w:p>
        </w:tc>
        <w:tc>
          <w:tcPr>
            <w:tcW w:w="1171" w:type="dxa"/>
            <w:tcBorders>
              <w:left w:val="single" w:color="auto" w:sz="4" w:space="0"/>
              <w:right w:val="single" w:color="auto" w:sz="4" w:space="0"/>
            </w:tcBorders>
            <w:vAlign w:val="center"/>
          </w:tcPr>
          <w:p w14:paraId="32FCA05D">
            <w:pPr>
              <w:widowControl/>
              <w:spacing w:line="280" w:lineRule="exact"/>
              <w:ind w:left="0" w:leftChars="0" w:right="0" w:rightChars="0"/>
              <w:jc w:val="both"/>
              <w:rPr>
                <w:rFonts w:hint="default" w:ascii="仿宋_GB2312" w:hAnsi="仿宋_GB2312" w:eastAsia="仿宋_GB2312" w:cs="宋体"/>
                <w:b w:val="0"/>
                <w:bCs w:val="0"/>
                <w:color w:val="000000"/>
                <w:kern w:val="0"/>
                <w:sz w:val="24"/>
                <w:lang w:val="en-US" w:eastAsia="zh-CN"/>
              </w:rPr>
            </w:pPr>
          </w:p>
        </w:tc>
      </w:tr>
      <w:tr w14:paraId="310E1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1047" w:type="dxa"/>
            <w:vMerge w:val="continue"/>
            <w:tcBorders>
              <w:left w:val="single" w:color="auto" w:sz="4" w:space="0"/>
              <w:bottom w:val="single" w:color="auto" w:sz="4" w:space="0"/>
              <w:right w:val="single" w:color="auto" w:sz="4" w:space="0"/>
            </w:tcBorders>
            <w:vAlign w:val="center"/>
          </w:tcPr>
          <w:p w14:paraId="64F8DB5A">
            <w:pPr>
              <w:widowControl/>
              <w:spacing w:line="280" w:lineRule="exact"/>
              <w:jc w:val="center"/>
              <w:rPr>
                <w:rFonts w:hint="eastAsia" w:ascii="仿宋_GB2312" w:hAnsi="仿宋_GB2312" w:eastAsia="仿宋_GB2312" w:cs="宋体"/>
                <w:color w:val="000000"/>
                <w:kern w:val="0"/>
                <w:sz w:val="24"/>
                <w:lang w:eastAsia="zh-CN"/>
              </w:rPr>
            </w:pPr>
          </w:p>
        </w:tc>
        <w:tc>
          <w:tcPr>
            <w:tcW w:w="1611" w:type="dxa"/>
            <w:tcBorders>
              <w:top w:val="single" w:color="auto" w:sz="4" w:space="0"/>
              <w:left w:val="single" w:color="auto" w:sz="4" w:space="0"/>
              <w:bottom w:val="single" w:color="auto" w:sz="4" w:space="0"/>
              <w:right w:val="single" w:color="auto" w:sz="4" w:space="0"/>
            </w:tcBorders>
            <w:vAlign w:val="center"/>
          </w:tcPr>
          <w:p w14:paraId="6431B6CD">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eastAsia="zh-CN"/>
              </w:rPr>
              <w:t>园区外</w:t>
            </w:r>
          </w:p>
        </w:tc>
        <w:tc>
          <w:tcPr>
            <w:tcW w:w="5670" w:type="dxa"/>
            <w:tcBorders>
              <w:top w:val="single" w:color="auto" w:sz="4" w:space="0"/>
              <w:left w:val="single" w:color="auto" w:sz="4" w:space="0"/>
              <w:bottom w:val="single" w:color="auto" w:sz="4" w:space="0"/>
              <w:right w:val="single" w:color="auto" w:sz="4" w:space="0"/>
            </w:tcBorders>
            <w:vAlign w:val="center"/>
          </w:tcPr>
          <w:p w14:paraId="3A38C840">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val="en-US" w:eastAsia="zh-CN"/>
              </w:rPr>
              <w:t>湖南绿洲资源开发有限公司、中国石油天然气股份有限公司湖南销售分公司望城区电厂大道加油站、中国石油天然气股份有限公司湖南望城区新星加油站、中国石化销售股份有限公司湖南望城城关加油站、中国石化销售股份有限公司湖南望城马家河加油站、中国石化销售股份有限公司湖南长沙望城靖港加油站</w:t>
            </w:r>
          </w:p>
        </w:tc>
        <w:tc>
          <w:tcPr>
            <w:tcW w:w="1171" w:type="dxa"/>
            <w:tcBorders>
              <w:left w:val="single" w:color="auto" w:sz="4" w:space="0"/>
              <w:right w:val="single" w:color="auto" w:sz="4" w:space="0"/>
            </w:tcBorders>
            <w:vAlign w:val="center"/>
          </w:tcPr>
          <w:p w14:paraId="20FF4CDC">
            <w:pPr>
              <w:widowControl/>
              <w:spacing w:line="280" w:lineRule="exact"/>
              <w:ind w:left="0" w:leftChars="0" w:right="0" w:rightChars="0"/>
              <w:jc w:val="both"/>
              <w:rPr>
                <w:rFonts w:hint="default" w:ascii="仿宋_GB2312" w:hAnsi="仿宋_GB2312" w:eastAsia="仿宋_GB2312" w:cs="宋体"/>
                <w:b w:val="0"/>
                <w:bCs w:val="0"/>
                <w:color w:val="000000"/>
                <w:kern w:val="0"/>
                <w:sz w:val="24"/>
                <w:lang w:val="en-US" w:eastAsia="zh-CN"/>
              </w:rPr>
            </w:pPr>
          </w:p>
        </w:tc>
      </w:tr>
      <w:tr w14:paraId="10723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7" w:type="dxa"/>
            <w:vMerge w:val="restart"/>
            <w:tcBorders>
              <w:top w:val="single" w:color="auto" w:sz="4" w:space="0"/>
              <w:left w:val="single" w:color="auto" w:sz="4" w:space="0"/>
              <w:right w:val="single" w:color="auto" w:sz="4" w:space="0"/>
            </w:tcBorders>
            <w:vAlign w:val="center"/>
          </w:tcPr>
          <w:p w14:paraId="23C84F93">
            <w:pPr>
              <w:widowControl/>
              <w:spacing w:line="280" w:lineRule="exact"/>
              <w:jc w:val="center"/>
              <w:rPr>
                <w:rFonts w:hint="eastAsia" w:ascii="仿宋_GB2312" w:hAnsi="仿宋_GB2312" w:eastAsia="仿宋_GB2312" w:cs="宋体"/>
                <w:color w:val="000000"/>
                <w:kern w:val="0"/>
                <w:sz w:val="24"/>
                <w:lang w:eastAsia="zh-CN"/>
              </w:rPr>
            </w:pPr>
            <w:r>
              <w:rPr>
                <w:rFonts w:hint="eastAsia" w:ascii="仿宋_GB2312" w:hAnsi="仿宋_GB2312" w:eastAsia="仿宋_GB2312" w:cs="宋体"/>
                <w:color w:val="000000"/>
                <w:kern w:val="0"/>
                <w:sz w:val="24"/>
                <w:lang w:eastAsia="zh-CN"/>
              </w:rPr>
              <w:t>6月份</w:t>
            </w:r>
          </w:p>
        </w:tc>
        <w:tc>
          <w:tcPr>
            <w:tcW w:w="1611" w:type="dxa"/>
            <w:tcBorders>
              <w:top w:val="single" w:color="auto" w:sz="4" w:space="0"/>
              <w:left w:val="single" w:color="auto" w:sz="4" w:space="0"/>
              <w:bottom w:val="single" w:color="auto" w:sz="4" w:space="0"/>
              <w:right w:val="single" w:color="auto" w:sz="4" w:space="0"/>
            </w:tcBorders>
            <w:vAlign w:val="center"/>
          </w:tcPr>
          <w:p w14:paraId="6243CD81">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eastAsia="zh-CN"/>
              </w:rPr>
              <w:t>园区内</w:t>
            </w:r>
          </w:p>
        </w:tc>
        <w:tc>
          <w:tcPr>
            <w:tcW w:w="5670" w:type="dxa"/>
            <w:tcBorders>
              <w:top w:val="single" w:color="auto" w:sz="4" w:space="0"/>
              <w:left w:val="single" w:color="auto" w:sz="4" w:space="0"/>
              <w:bottom w:val="single" w:color="auto" w:sz="4" w:space="0"/>
              <w:right w:val="single" w:color="auto" w:sz="4" w:space="0"/>
            </w:tcBorders>
            <w:vAlign w:val="center"/>
          </w:tcPr>
          <w:p w14:paraId="09C89A4C">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val="en-US" w:eastAsia="zh-CN"/>
              </w:rPr>
              <w:t>长沙望城石油化工有限公司、湖南和顺铜官石油有限公司、长沙新宇高分子科技有限公司、</w:t>
            </w:r>
          </w:p>
        </w:tc>
        <w:tc>
          <w:tcPr>
            <w:tcW w:w="1171" w:type="dxa"/>
            <w:tcBorders>
              <w:left w:val="single" w:color="auto" w:sz="4" w:space="0"/>
              <w:bottom w:val="single" w:color="auto" w:sz="4" w:space="0"/>
              <w:right w:val="single" w:color="auto" w:sz="4" w:space="0"/>
            </w:tcBorders>
            <w:vAlign w:val="center"/>
          </w:tcPr>
          <w:p w14:paraId="7FAF7D5A">
            <w:pPr>
              <w:widowControl/>
              <w:spacing w:line="280" w:lineRule="exact"/>
              <w:ind w:left="0" w:leftChars="0" w:right="0" w:rightChars="0"/>
              <w:jc w:val="both"/>
              <w:rPr>
                <w:rFonts w:hint="default" w:ascii="仿宋_GB2312" w:hAnsi="仿宋_GB2312" w:eastAsia="仿宋_GB2312" w:cs="宋体"/>
                <w:b w:val="0"/>
                <w:bCs w:val="0"/>
                <w:color w:val="000000"/>
                <w:kern w:val="0"/>
                <w:sz w:val="24"/>
                <w:lang w:val="en-US" w:eastAsia="zh-CN"/>
              </w:rPr>
            </w:pPr>
          </w:p>
        </w:tc>
      </w:tr>
      <w:tr w14:paraId="13BFF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047" w:type="dxa"/>
            <w:vMerge w:val="continue"/>
            <w:tcBorders>
              <w:left w:val="single" w:color="auto" w:sz="4" w:space="0"/>
              <w:bottom w:val="single" w:color="auto" w:sz="4" w:space="0"/>
              <w:right w:val="single" w:color="auto" w:sz="4" w:space="0"/>
            </w:tcBorders>
            <w:vAlign w:val="center"/>
          </w:tcPr>
          <w:p w14:paraId="3212D96D">
            <w:pPr>
              <w:widowControl/>
              <w:spacing w:line="280" w:lineRule="exact"/>
              <w:jc w:val="center"/>
              <w:rPr>
                <w:rFonts w:hint="eastAsia" w:ascii="仿宋_GB2312" w:hAnsi="仿宋_GB2312" w:eastAsia="仿宋_GB2312" w:cs="宋体"/>
                <w:color w:val="000000"/>
                <w:kern w:val="0"/>
                <w:sz w:val="24"/>
                <w:lang w:eastAsia="zh-CN"/>
              </w:rPr>
            </w:pPr>
          </w:p>
        </w:tc>
        <w:tc>
          <w:tcPr>
            <w:tcW w:w="1611" w:type="dxa"/>
            <w:tcBorders>
              <w:top w:val="single" w:color="auto" w:sz="4" w:space="0"/>
              <w:left w:val="single" w:color="auto" w:sz="4" w:space="0"/>
              <w:bottom w:val="single" w:color="auto" w:sz="4" w:space="0"/>
              <w:right w:val="single" w:color="auto" w:sz="4" w:space="0"/>
            </w:tcBorders>
            <w:vAlign w:val="center"/>
          </w:tcPr>
          <w:p w14:paraId="68ABA40A">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eastAsia="zh-CN"/>
              </w:rPr>
              <w:t>园区外</w:t>
            </w:r>
          </w:p>
        </w:tc>
        <w:tc>
          <w:tcPr>
            <w:tcW w:w="5670" w:type="dxa"/>
            <w:tcBorders>
              <w:top w:val="single" w:color="auto" w:sz="4" w:space="0"/>
              <w:left w:val="single" w:color="auto" w:sz="4" w:space="0"/>
              <w:bottom w:val="single" w:color="auto" w:sz="4" w:space="0"/>
              <w:right w:val="single" w:color="auto" w:sz="4" w:space="0"/>
            </w:tcBorders>
            <w:vAlign w:val="center"/>
          </w:tcPr>
          <w:p w14:paraId="3D498E87">
            <w:pPr>
              <w:widowControl/>
              <w:spacing w:line="280" w:lineRule="exact"/>
              <w:jc w:val="both"/>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val="en-US" w:eastAsia="zh-CN"/>
              </w:rPr>
              <w:t>湖南三分情烟花贸易有限公司、中国石化销售股份有限公司湖南长沙望城桥驿加油站、中国石化销售股份有限公司湖南长沙望城丁字加油站、中国石化销售股份有限公司湖南长沙望城玫瑰园加油站、中国石化销售股份有限公司湖南望城茶亭加油站、中国石化销售股份有限公司湖南望城乌山加油站</w:t>
            </w:r>
          </w:p>
        </w:tc>
        <w:tc>
          <w:tcPr>
            <w:tcW w:w="1171" w:type="dxa"/>
            <w:tcBorders>
              <w:left w:val="single" w:color="auto" w:sz="4" w:space="0"/>
              <w:bottom w:val="single" w:color="auto" w:sz="4" w:space="0"/>
              <w:right w:val="single" w:color="auto" w:sz="4" w:space="0"/>
            </w:tcBorders>
            <w:vAlign w:val="center"/>
          </w:tcPr>
          <w:p w14:paraId="10936975">
            <w:pPr>
              <w:widowControl/>
              <w:spacing w:line="280" w:lineRule="exact"/>
              <w:ind w:left="0" w:leftChars="0" w:right="0" w:rightChars="0"/>
              <w:jc w:val="both"/>
              <w:rPr>
                <w:rFonts w:hint="default" w:ascii="仿宋_GB2312" w:hAnsi="仿宋_GB2312" w:eastAsia="仿宋_GB2312" w:cs="宋体"/>
                <w:b w:val="0"/>
                <w:bCs w:val="0"/>
                <w:color w:val="000000"/>
                <w:kern w:val="0"/>
                <w:sz w:val="24"/>
                <w:lang w:val="en-US" w:eastAsia="zh-CN"/>
              </w:rPr>
            </w:pPr>
          </w:p>
        </w:tc>
      </w:tr>
      <w:tr w14:paraId="589CB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7" w:type="dxa"/>
            <w:vMerge w:val="restart"/>
            <w:tcBorders>
              <w:top w:val="single" w:color="auto" w:sz="4" w:space="0"/>
              <w:left w:val="single" w:color="auto" w:sz="4" w:space="0"/>
              <w:right w:val="single" w:color="auto" w:sz="4" w:space="0"/>
            </w:tcBorders>
            <w:vAlign w:val="center"/>
          </w:tcPr>
          <w:p w14:paraId="70C5CA9F">
            <w:pPr>
              <w:widowControl/>
              <w:spacing w:line="280" w:lineRule="exact"/>
              <w:jc w:val="center"/>
              <w:rPr>
                <w:rFonts w:hint="eastAsia" w:ascii="仿宋_GB2312" w:hAnsi="仿宋_GB2312" w:eastAsia="仿宋_GB2312" w:cs="宋体"/>
                <w:color w:val="000000"/>
                <w:kern w:val="0"/>
                <w:sz w:val="24"/>
                <w:lang w:eastAsia="zh-CN"/>
              </w:rPr>
            </w:pPr>
            <w:r>
              <w:rPr>
                <w:rFonts w:hint="eastAsia" w:ascii="仿宋_GB2312" w:hAnsi="仿宋_GB2312" w:eastAsia="仿宋_GB2312" w:cs="宋体"/>
                <w:color w:val="000000"/>
                <w:kern w:val="0"/>
                <w:sz w:val="24"/>
                <w:lang w:eastAsia="zh-CN"/>
              </w:rPr>
              <w:t>7月份</w:t>
            </w:r>
          </w:p>
        </w:tc>
        <w:tc>
          <w:tcPr>
            <w:tcW w:w="1611" w:type="dxa"/>
            <w:tcBorders>
              <w:top w:val="single" w:color="auto" w:sz="4" w:space="0"/>
              <w:left w:val="single" w:color="auto" w:sz="4" w:space="0"/>
              <w:bottom w:val="single" w:color="auto" w:sz="4" w:space="0"/>
              <w:right w:val="single" w:color="auto" w:sz="4" w:space="0"/>
            </w:tcBorders>
            <w:vAlign w:val="center"/>
          </w:tcPr>
          <w:p w14:paraId="1D49EC96">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eastAsia="zh-CN"/>
              </w:rPr>
              <w:t>园区内</w:t>
            </w:r>
          </w:p>
        </w:tc>
        <w:tc>
          <w:tcPr>
            <w:tcW w:w="5670" w:type="dxa"/>
            <w:tcBorders>
              <w:top w:val="single" w:color="auto" w:sz="4" w:space="0"/>
              <w:left w:val="single" w:color="auto" w:sz="4" w:space="0"/>
              <w:bottom w:val="single" w:color="auto" w:sz="4" w:space="0"/>
              <w:right w:val="single" w:color="auto" w:sz="4" w:space="0"/>
            </w:tcBorders>
            <w:vAlign w:val="center"/>
          </w:tcPr>
          <w:p w14:paraId="29D13714">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val="en-US" w:eastAsia="zh-CN"/>
              </w:rPr>
              <w:t>长沙融辰精细化工有限公司、长沙市政军新材料有限公司、湖南湘鑫科贸发展有限公司、湖南久工建材科技有限公司</w:t>
            </w:r>
          </w:p>
        </w:tc>
        <w:tc>
          <w:tcPr>
            <w:tcW w:w="1171" w:type="dxa"/>
            <w:tcBorders>
              <w:top w:val="single" w:color="auto" w:sz="4" w:space="0"/>
              <w:left w:val="single" w:color="auto" w:sz="4" w:space="0"/>
              <w:right w:val="single" w:color="auto" w:sz="4" w:space="0"/>
            </w:tcBorders>
            <w:vAlign w:val="center"/>
          </w:tcPr>
          <w:p w14:paraId="209B4735">
            <w:pPr>
              <w:rPr>
                <w:rFonts w:hint="default"/>
                <w:lang w:val="en-US" w:eastAsia="zh-CN"/>
              </w:rPr>
            </w:pPr>
          </w:p>
        </w:tc>
      </w:tr>
      <w:tr w14:paraId="39A4E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1047" w:type="dxa"/>
            <w:vMerge w:val="continue"/>
            <w:tcBorders>
              <w:left w:val="single" w:color="auto" w:sz="4" w:space="0"/>
              <w:bottom w:val="single" w:color="auto" w:sz="4" w:space="0"/>
              <w:right w:val="single" w:color="auto" w:sz="4" w:space="0"/>
            </w:tcBorders>
            <w:vAlign w:val="center"/>
          </w:tcPr>
          <w:p w14:paraId="6F9AAD84">
            <w:pPr>
              <w:widowControl/>
              <w:spacing w:line="280" w:lineRule="exact"/>
              <w:jc w:val="center"/>
              <w:rPr>
                <w:rFonts w:hint="eastAsia" w:ascii="仿宋_GB2312" w:hAnsi="仿宋_GB2312" w:eastAsia="仿宋_GB2312" w:cs="宋体"/>
                <w:color w:val="000000"/>
                <w:kern w:val="0"/>
                <w:sz w:val="24"/>
                <w:lang w:eastAsia="zh-CN"/>
              </w:rPr>
            </w:pPr>
          </w:p>
        </w:tc>
        <w:tc>
          <w:tcPr>
            <w:tcW w:w="1611" w:type="dxa"/>
            <w:tcBorders>
              <w:top w:val="single" w:color="auto" w:sz="4" w:space="0"/>
              <w:left w:val="single" w:color="auto" w:sz="4" w:space="0"/>
              <w:bottom w:val="single" w:color="auto" w:sz="4" w:space="0"/>
              <w:right w:val="single" w:color="auto" w:sz="4" w:space="0"/>
            </w:tcBorders>
            <w:vAlign w:val="center"/>
          </w:tcPr>
          <w:p w14:paraId="3F5D12E9">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eastAsia="zh-CN"/>
              </w:rPr>
              <w:t>园区外</w:t>
            </w:r>
          </w:p>
        </w:tc>
        <w:tc>
          <w:tcPr>
            <w:tcW w:w="5670" w:type="dxa"/>
            <w:tcBorders>
              <w:top w:val="single" w:color="auto" w:sz="4" w:space="0"/>
              <w:left w:val="single" w:color="auto" w:sz="4" w:space="0"/>
              <w:bottom w:val="single" w:color="auto" w:sz="4" w:space="0"/>
              <w:right w:val="single" w:color="auto" w:sz="4" w:space="0"/>
            </w:tcBorders>
            <w:vAlign w:val="center"/>
          </w:tcPr>
          <w:p w14:paraId="31A7229C">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val="en-US" w:eastAsia="zh-CN"/>
              </w:rPr>
              <w:t>湖南新参芝林中药饮片有限公司、中国石化销售股份有限公司湖南望城星城加油站、中国石化销售股份有限公司湖南长沙望城如意加油站、中国石化销售股份有限公司湖南石油高速分公司雷锋服务区一区、中国石化销售股份有限公司湖南石油高速分公司雷锋服务区二区</w:t>
            </w:r>
          </w:p>
        </w:tc>
        <w:tc>
          <w:tcPr>
            <w:tcW w:w="1171" w:type="dxa"/>
            <w:tcBorders>
              <w:left w:val="single" w:color="auto" w:sz="4" w:space="0"/>
              <w:right w:val="single" w:color="auto" w:sz="4" w:space="0"/>
            </w:tcBorders>
            <w:vAlign w:val="center"/>
          </w:tcPr>
          <w:p w14:paraId="3FC707C8">
            <w:pPr>
              <w:rPr>
                <w:rFonts w:hint="default" w:ascii="仿宋_GB2312" w:hAnsi="仿宋_GB2312" w:eastAsia="仿宋_GB2312" w:cs="宋体"/>
                <w:b w:val="0"/>
                <w:bCs w:val="0"/>
                <w:color w:val="000000"/>
                <w:kern w:val="0"/>
                <w:sz w:val="24"/>
                <w:lang w:val="en-US" w:eastAsia="zh-CN"/>
              </w:rPr>
            </w:pPr>
          </w:p>
        </w:tc>
      </w:tr>
      <w:tr w14:paraId="467A3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7" w:type="dxa"/>
            <w:vMerge w:val="restart"/>
            <w:tcBorders>
              <w:top w:val="single" w:color="auto" w:sz="4" w:space="0"/>
              <w:left w:val="single" w:color="auto" w:sz="4" w:space="0"/>
              <w:right w:val="single" w:color="auto" w:sz="4" w:space="0"/>
            </w:tcBorders>
            <w:vAlign w:val="center"/>
          </w:tcPr>
          <w:p w14:paraId="1E63366C">
            <w:pPr>
              <w:widowControl/>
              <w:spacing w:line="280" w:lineRule="exact"/>
              <w:jc w:val="center"/>
              <w:rPr>
                <w:rFonts w:hint="eastAsia" w:ascii="仿宋_GB2312" w:hAnsi="仿宋_GB2312" w:eastAsia="仿宋_GB2312" w:cs="宋体"/>
                <w:color w:val="000000"/>
                <w:kern w:val="0"/>
                <w:sz w:val="24"/>
                <w:lang w:eastAsia="zh-CN"/>
              </w:rPr>
            </w:pPr>
            <w:r>
              <w:rPr>
                <w:rFonts w:hint="eastAsia" w:ascii="仿宋_GB2312" w:hAnsi="仿宋_GB2312" w:eastAsia="仿宋_GB2312" w:cs="宋体"/>
                <w:color w:val="000000"/>
                <w:kern w:val="0"/>
                <w:sz w:val="24"/>
                <w:lang w:eastAsia="zh-CN"/>
              </w:rPr>
              <w:t>8月份</w:t>
            </w:r>
          </w:p>
        </w:tc>
        <w:tc>
          <w:tcPr>
            <w:tcW w:w="1611" w:type="dxa"/>
            <w:tcBorders>
              <w:top w:val="single" w:color="auto" w:sz="4" w:space="0"/>
              <w:left w:val="single" w:color="auto" w:sz="4" w:space="0"/>
              <w:bottom w:val="single" w:color="auto" w:sz="4" w:space="0"/>
              <w:right w:val="single" w:color="auto" w:sz="4" w:space="0"/>
            </w:tcBorders>
            <w:vAlign w:val="center"/>
          </w:tcPr>
          <w:p w14:paraId="305A1501">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eastAsia="zh-CN"/>
              </w:rPr>
              <w:t>园区内</w:t>
            </w:r>
          </w:p>
        </w:tc>
        <w:tc>
          <w:tcPr>
            <w:tcW w:w="5670" w:type="dxa"/>
            <w:tcBorders>
              <w:top w:val="single" w:color="auto" w:sz="4" w:space="0"/>
              <w:left w:val="single" w:color="auto" w:sz="4" w:space="0"/>
              <w:bottom w:val="single" w:color="auto" w:sz="4" w:space="0"/>
              <w:right w:val="single" w:color="auto" w:sz="4" w:space="0"/>
            </w:tcBorders>
            <w:vAlign w:val="center"/>
          </w:tcPr>
          <w:p w14:paraId="7A999EFF">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val="en-US" w:eastAsia="zh-CN"/>
              </w:rPr>
              <w:t>长沙天水环保科技有限公司、长沙中望气体有限公司、湖南赛隆生物制药有限公司</w:t>
            </w:r>
          </w:p>
        </w:tc>
        <w:tc>
          <w:tcPr>
            <w:tcW w:w="1171" w:type="dxa"/>
            <w:tcBorders>
              <w:left w:val="single" w:color="auto" w:sz="4" w:space="0"/>
              <w:right w:val="single" w:color="auto" w:sz="4" w:space="0"/>
            </w:tcBorders>
            <w:vAlign w:val="center"/>
          </w:tcPr>
          <w:p w14:paraId="1F08101F">
            <w:pPr>
              <w:widowControl/>
              <w:spacing w:line="280" w:lineRule="exact"/>
              <w:ind w:left="0" w:leftChars="0" w:right="0" w:rightChars="0"/>
              <w:jc w:val="both"/>
              <w:rPr>
                <w:rFonts w:hint="default" w:ascii="仿宋_GB2312" w:hAnsi="仿宋_GB2312" w:eastAsia="仿宋_GB2312" w:cs="宋体"/>
                <w:b w:val="0"/>
                <w:bCs w:val="0"/>
                <w:color w:val="000000"/>
                <w:kern w:val="0"/>
                <w:sz w:val="24"/>
                <w:szCs w:val="22"/>
                <w:lang w:val="en-US" w:eastAsia="zh-CN" w:bidi="zh-CN"/>
              </w:rPr>
            </w:pPr>
          </w:p>
        </w:tc>
      </w:tr>
      <w:tr w14:paraId="06753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047" w:type="dxa"/>
            <w:vMerge w:val="continue"/>
            <w:tcBorders>
              <w:left w:val="single" w:color="auto" w:sz="4" w:space="0"/>
              <w:bottom w:val="single" w:color="auto" w:sz="4" w:space="0"/>
              <w:right w:val="single" w:color="auto" w:sz="4" w:space="0"/>
            </w:tcBorders>
            <w:vAlign w:val="center"/>
          </w:tcPr>
          <w:p w14:paraId="380B9067">
            <w:pPr>
              <w:widowControl/>
              <w:spacing w:line="280" w:lineRule="exact"/>
              <w:jc w:val="center"/>
              <w:rPr>
                <w:rFonts w:hint="eastAsia" w:ascii="仿宋_GB2312" w:hAnsi="仿宋_GB2312" w:eastAsia="仿宋_GB2312" w:cs="宋体"/>
                <w:color w:val="000000"/>
                <w:kern w:val="0"/>
                <w:sz w:val="24"/>
                <w:lang w:eastAsia="zh-CN"/>
              </w:rPr>
            </w:pPr>
          </w:p>
        </w:tc>
        <w:tc>
          <w:tcPr>
            <w:tcW w:w="1611" w:type="dxa"/>
            <w:tcBorders>
              <w:top w:val="single" w:color="auto" w:sz="4" w:space="0"/>
              <w:left w:val="single" w:color="auto" w:sz="4" w:space="0"/>
              <w:bottom w:val="single" w:color="auto" w:sz="4" w:space="0"/>
              <w:right w:val="single" w:color="auto" w:sz="4" w:space="0"/>
            </w:tcBorders>
            <w:vAlign w:val="center"/>
          </w:tcPr>
          <w:p w14:paraId="4CC9F4A4">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eastAsia="zh-CN"/>
              </w:rPr>
              <w:t>园区外</w:t>
            </w:r>
          </w:p>
        </w:tc>
        <w:tc>
          <w:tcPr>
            <w:tcW w:w="5670" w:type="dxa"/>
            <w:tcBorders>
              <w:top w:val="single" w:color="auto" w:sz="4" w:space="0"/>
              <w:left w:val="single" w:color="auto" w:sz="4" w:space="0"/>
              <w:bottom w:val="single" w:color="auto" w:sz="4" w:space="0"/>
              <w:right w:val="single" w:color="auto" w:sz="4" w:space="0"/>
            </w:tcBorders>
            <w:vAlign w:val="center"/>
          </w:tcPr>
          <w:p w14:paraId="76097DEA">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val="en-US" w:eastAsia="zh-CN"/>
              </w:rPr>
              <w:t>中国石化销售股份有限公司湖南长沙普瑞银杉加油站、湖南和顺铜官石油有限公司长沙同心加油站、湖南和顺铜官石油有限公司长沙杨家湾加油站、湖南和顺铜官石油有限公司长沙同福加油站、湖南和顺铜官石油有限公司长沙滨水新城加油站</w:t>
            </w:r>
          </w:p>
        </w:tc>
        <w:tc>
          <w:tcPr>
            <w:tcW w:w="1171" w:type="dxa"/>
            <w:tcBorders>
              <w:left w:val="single" w:color="auto" w:sz="4" w:space="0"/>
              <w:right w:val="single" w:color="auto" w:sz="4" w:space="0"/>
            </w:tcBorders>
            <w:vAlign w:val="center"/>
          </w:tcPr>
          <w:p w14:paraId="70FE5A73">
            <w:pPr>
              <w:widowControl/>
              <w:spacing w:line="280" w:lineRule="exact"/>
              <w:ind w:left="0" w:leftChars="0" w:right="0" w:rightChars="0"/>
              <w:jc w:val="both"/>
              <w:rPr>
                <w:rFonts w:hint="default" w:ascii="仿宋_GB2312" w:hAnsi="仿宋_GB2312" w:eastAsia="仿宋_GB2312" w:cs="宋体"/>
                <w:b w:val="0"/>
                <w:bCs w:val="0"/>
                <w:color w:val="000000"/>
                <w:kern w:val="0"/>
                <w:sz w:val="24"/>
                <w:szCs w:val="22"/>
                <w:lang w:val="en-US" w:eastAsia="zh-CN" w:bidi="zh-CN"/>
              </w:rPr>
            </w:pPr>
          </w:p>
        </w:tc>
      </w:tr>
      <w:tr w14:paraId="298C0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1047" w:type="dxa"/>
            <w:vMerge w:val="restart"/>
            <w:tcBorders>
              <w:top w:val="single" w:color="auto" w:sz="4" w:space="0"/>
              <w:left w:val="single" w:color="auto" w:sz="4" w:space="0"/>
              <w:right w:val="single" w:color="auto" w:sz="4" w:space="0"/>
            </w:tcBorders>
            <w:vAlign w:val="center"/>
          </w:tcPr>
          <w:p w14:paraId="7189A259">
            <w:pPr>
              <w:widowControl/>
              <w:spacing w:line="280" w:lineRule="exact"/>
              <w:jc w:val="center"/>
              <w:rPr>
                <w:rFonts w:hint="eastAsia" w:ascii="仿宋_GB2312" w:hAnsi="仿宋_GB2312" w:eastAsia="仿宋_GB2312" w:cs="宋体"/>
                <w:color w:val="000000"/>
                <w:kern w:val="0"/>
                <w:sz w:val="24"/>
                <w:lang w:eastAsia="zh-CN"/>
              </w:rPr>
            </w:pPr>
            <w:r>
              <w:rPr>
                <w:rFonts w:hint="eastAsia" w:ascii="仿宋_GB2312" w:hAnsi="仿宋_GB2312" w:eastAsia="仿宋_GB2312" w:cs="宋体"/>
                <w:color w:val="000000"/>
                <w:kern w:val="0"/>
                <w:sz w:val="24"/>
                <w:lang w:eastAsia="zh-CN"/>
              </w:rPr>
              <w:t>9月份</w:t>
            </w:r>
          </w:p>
        </w:tc>
        <w:tc>
          <w:tcPr>
            <w:tcW w:w="1611" w:type="dxa"/>
            <w:tcBorders>
              <w:top w:val="single" w:color="auto" w:sz="4" w:space="0"/>
              <w:left w:val="single" w:color="auto" w:sz="4" w:space="0"/>
              <w:bottom w:val="single" w:color="auto" w:sz="4" w:space="0"/>
              <w:right w:val="single" w:color="auto" w:sz="4" w:space="0"/>
            </w:tcBorders>
            <w:vAlign w:val="center"/>
          </w:tcPr>
          <w:p w14:paraId="66063EB0">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eastAsia="zh-CN"/>
              </w:rPr>
              <w:t>园区内</w:t>
            </w:r>
          </w:p>
        </w:tc>
        <w:tc>
          <w:tcPr>
            <w:tcW w:w="5670" w:type="dxa"/>
            <w:tcBorders>
              <w:top w:val="single" w:color="auto" w:sz="4" w:space="0"/>
              <w:left w:val="single" w:color="auto" w:sz="4" w:space="0"/>
              <w:bottom w:val="single" w:color="auto" w:sz="4" w:space="0"/>
              <w:right w:val="single" w:color="auto" w:sz="4" w:space="0"/>
            </w:tcBorders>
            <w:vAlign w:val="center"/>
          </w:tcPr>
          <w:p w14:paraId="5BD99E48">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val="en-US" w:eastAsia="zh-CN"/>
              </w:rPr>
              <w:t>湖南九典宏阳制药有限公司、湖南汇虹试剂有限公司、湖南华纳大药厂手性药物有限公司</w:t>
            </w:r>
          </w:p>
        </w:tc>
        <w:tc>
          <w:tcPr>
            <w:tcW w:w="1171" w:type="dxa"/>
            <w:tcBorders>
              <w:left w:val="single" w:color="auto" w:sz="4" w:space="0"/>
              <w:bottom w:val="single" w:color="auto" w:sz="4" w:space="0"/>
              <w:right w:val="single" w:color="auto" w:sz="4" w:space="0"/>
            </w:tcBorders>
            <w:vAlign w:val="center"/>
          </w:tcPr>
          <w:p w14:paraId="5F3C1301">
            <w:pPr>
              <w:widowControl/>
              <w:spacing w:line="280" w:lineRule="exact"/>
              <w:jc w:val="both"/>
              <w:rPr>
                <w:rFonts w:hint="default" w:ascii="仿宋_GB2312" w:hAnsi="仿宋_GB2312" w:eastAsia="仿宋_GB2312" w:cs="宋体"/>
                <w:b w:val="0"/>
                <w:bCs w:val="0"/>
                <w:color w:val="000000"/>
                <w:kern w:val="0"/>
                <w:sz w:val="24"/>
                <w:lang w:val="en-US" w:eastAsia="zh-CN"/>
              </w:rPr>
            </w:pPr>
          </w:p>
        </w:tc>
      </w:tr>
      <w:tr w14:paraId="0D4DD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1047" w:type="dxa"/>
            <w:vMerge w:val="continue"/>
            <w:tcBorders>
              <w:left w:val="single" w:color="auto" w:sz="4" w:space="0"/>
              <w:bottom w:val="single" w:color="auto" w:sz="4" w:space="0"/>
              <w:right w:val="single" w:color="auto" w:sz="4" w:space="0"/>
            </w:tcBorders>
            <w:vAlign w:val="center"/>
          </w:tcPr>
          <w:p w14:paraId="737DE3D8">
            <w:pPr>
              <w:widowControl/>
              <w:spacing w:line="280" w:lineRule="exact"/>
              <w:jc w:val="center"/>
              <w:rPr>
                <w:rFonts w:hint="eastAsia" w:ascii="仿宋_GB2312" w:hAnsi="仿宋_GB2312" w:eastAsia="仿宋_GB2312" w:cs="宋体"/>
                <w:color w:val="000000"/>
                <w:kern w:val="0"/>
                <w:sz w:val="24"/>
                <w:lang w:eastAsia="zh-CN"/>
              </w:rPr>
            </w:pPr>
          </w:p>
        </w:tc>
        <w:tc>
          <w:tcPr>
            <w:tcW w:w="1611" w:type="dxa"/>
            <w:tcBorders>
              <w:top w:val="single" w:color="auto" w:sz="4" w:space="0"/>
              <w:left w:val="single" w:color="auto" w:sz="4" w:space="0"/>
              <w:bottom w:val="single" w:color="auto" w:sz="4" w:space="0"/>
              <w:right w:val="single" w:color="auto" w:sz="4" w:space="0"/>
            </w:tcBorders>
            <w:vAlign w:val="center"/>
          </w:tcPr>
          <w:p w14:paraId="2AC5EEFA">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eastAsia="zh-CN"/>
              </w:rPr>
              <w:t>园区外</w:t>
            </w:r>
          </w:p>
        </w:tc>
        <w:tc>
          <w:tcPr>
            <w:tcW w:w="5670" w:type="dxa"/>
            <w:tcBorders>
              <w:top w:val="single" w:color="auto" w:sz="4" w:space="0"/>
              <w:left w:val="single" w:color="auto" w:sz="4" w:space="0"/>
              <w:bottom w:val="single" w:color="auto" w:sz="4" w:space="0"/>
              <w:right w:val="single" w:color="auto" w:sz="4" w:space="0"/>
            </w:tcBorders>
            <w:vAlign w:val="center"/>
          </w:tcPr>
          <w:p w14:paraId="36F07B78">
            <w:pPr>
              <w:widowControl/>
              <w:spacing w:line="280" w:lineRule="exact"/>
              <w:jc w:val="center"/>
              <w:rPr>
                <w:rFonts w:hint="eastAsia" w:ascii="仿宋_GB2312" w:hAnsi="仿宋_GB2312" w:eastAsia="仿宋_GB2312" w:cs="宋体"/>
                <w:color w:val="000000"/>
                <w:kern w:val="0"/>
                <w:sz w:val="24"/>
                <w:lang w:eastAsia="zh-CN"/>
              </w:rPr>
            </w:pPr>
            <w:r>
              <w:rPr>
                <w:rFonts w:hint="eastAsia" w:ascii="仿宋_GB2312" w:hAnsi="仿宋_GB2312" w:eastAsia="仿宋_GB2312" w:cs="宋体"/>
                <w:color w:val="000000"/>
                <w:kern w:val="0"/>
                <w:sz w:val="24"/>
                <w:lang w:eastAsia="zh-CN"/>
              </w:rPr>
              <w:t>湖南和顺铜官石油有限公司长沙汇通加油站、长沙市望城区乔口镇汽车配件销售有限公司乔口加油站、</w:t>
            </w:r>
            <w:r>
              <w:rPr>
                <w:rFonts w:hint="eastAsia" w:ascii="仿宋_GB2312" w:hAnsi="仿宋_GB2312" w:eastAsia="仿宋_GB2312" w:cs="宋体"/>
                <w:color w:val="000000"/>
                <w:kern w:val="0"/>
                <w:sz w:val="24"/>
                <w:lang w:val="en-US" w:eastAsia="zh-CN"/>
              </w:rPr>
              <w:t>中海油湖南销售有限公司望城区东城加油站、中海油湖南销售有限公司望城区旭宏加油站</w:t>
            </w:r>
          </w:p>
        </w:tc>
        <w:tc>
          <w:tcPr>
            <w:tcW w:w="1171" w:type="dxa"/>
            <w:tcBorders>
              <w:left w:val="single" w:color="auto" w:sz="4" w:space="0"/>
              <w:bottom w:val="single" w:color="auto" w:sz="4" w:space="0"/>
              <w:right w:val="single" w:color="auto" w:sz="4" w:space="0"/>
            </w:tcBorders>
            <w:vAlign w:val="center"/>
          </w:tcPr>
          <w:p w14:paraId="1BDA0B46">
            <w:pPr>
              <w:widowControl/>
              <w:spacing w:line="280" w:lineRule="exact"/>
              <w:jc w:val="both"/>
              <w:rPr>
                <w:rFonts w:hint="default" w:ascii="仿宋_GB2312" w:hAnsi="仿宋_GB2312" w:eastAsia="仿宋_GB2312" w:cs="宋体"/>
                <w:b w:val="0"/>
                <w:bCs w:val="0"/>
                <w:color w:val="000000"/>
                <w:kern w:val="0"/>
                <w:sz w:val="24"/>
                <w:lang w:val="en-US" w:eastAsia="zh-CN"/>
              </w:rPr>
            </w:pPr>
          </w:p>
        </w:tc>
      </w:tr>
      <w:tr w14:paraId="0DF6D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1047" w:type="dxa"/>
            <w:vMerge w:val="restart"/>
            <w:tcBorders>
              <w:top w:val="single" w:color="auto" w:sz="4" w:space="0"/>
              <w:left w:val="single" w:color="auto" w:sz="4" w:space="0"/>
              <w:right w:val="single" w:color="auto" w:sz="4" w:space="0"/>
            </w:tcBorders>
            <w:vAlign w:val="center"/>
          </w:tcPr>
          <w:p w14:paraId="207C46D0">
            <w:pPr>
              <w:widowControl/>
              <w:spacing w:line="280" w:lineRule="exact"/>
              <w:jc w:val="center"/>
              <w:rPr>
                <w:rFonts w:hint="eastAsia" w:ascii="仿宋_GB2312" w:hAnsi="仿宋_GB2312" w:eastAsia="仿宋_GB2312" w:cs="宋体"/>
                <w:color w:val="000000"/>
                <w:kern w:val="0"/>
                <w:sz w:val="24"/>
                <w:lang w:eastAsia="zh-CN"/>
              </w:rPr>
            </w:pPr>
            <w:r>
              <w:rPr>
                <w:rFonts w:hint="eastAsia" w:ascii="仿宋_GB2312" w:hAnsi="仿宋_GB2312" w:eastAsia="仿宋_GB2312" w:cs="宋体"/>
                <w:color w:val="000000"/>
                <w:kern w:val="0"/>
                <w:sz w:val="24"/>
                <w:lang w:eastAsia="zh-CN"/>
              </w:rPr>
              <w:t>10月份</w:t>
            </w:r>
          </w:p>
        </w:tc>
        <w:tc>
          <w:tcPr>
            <w:tcW w:w="1611" w:type="dxa"/>
            <w:tcBorders>
              <w:top w:val="single" w:color="auto" w:sz="4" w:space="0"/>
              <w:left w:val="single" w:color="auto" w:sz="4" w:space="0"/>
              <w:bottom w:val="single" w:color="auto" w:sz="4" w:space="0"/>
              <w:right w:val="single" w:color="auto" w:sz="4" w:space="0"/>
            </w:tcBorders>
            <w:vAlign w:val="center"/>
          </w:tcPr>
          <w:p w14:paraId="245590F6">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eastAsia="zh-CN"/>
              </w:rPr>
              <w:t>园区内</w:t>
            </w:r>
          </w:p>
        </w:tc>
        <w:tc>
          <w:tcPr>
            <w:tcW w:w="5670" w:type="dxa"/>
            <w:tcBorders>
              <w:top w:val="single" w:color="auto" w:sz="4" w:space="0"/>
              <w:left w:val="single" w:color="auto" w:sz="4" w:space="0"/>
              <w:bottom w:val="single" w:color="auto" w:sz="4" w:space="0"/>
              <w:right w:val="single" w:color="auto" w:sz="4" w:space="0"/>
            </w:tcBorders>
            <w:vAlign w:val="center"/>
          </w:tcPr>
          <w:p w14:paraId="451AB119">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val="en-US" w:eastAsia="zh-CN"/>
              </w:rPr>
              <w:t>湖南康寿制药有限公司、湖南伟达科技有限公司、湖南省丽拓生物科技有限公司、湖南天龙制药有限公司</w:t>
            </w:r>
          </w:p>
        </w:tc>
        <w:tc>
          <w:tcPr>
            <w:tcW w:w="1171" w:type="dxa"/>
            <w:vMerge w:val="restart"/>
            <w:tcBorders>
              <w:top w:val="single" w:color="auto" w:sz="4" w:space="0"/>
              <w:left w:val="single" w:color="auto" w:sz="4" w:space="0"/>
              <w:right w:val="single" w:color="auto" w:sz="4" w:space="0"/>
            </w:tcBorders>
            <w:vAlign w:val="center"/>
          </w:tcPr>
          <w:p w14:paraId="1534CDB3">
            <w:pPr>
              <w:widowControl/>
              <w:spacing w:line="280" w:lineRule="exact"/>
              <w:jc w:val="both"/>
              <w:rPr>
                <w:rFonts w:hint="default" w:ascii="仿宋_GB2312" w:hAnsi="仿宋_GB2312" w:eastAsia="仿宋_GB2312" w:cs="宋体"/>
                <w:b w:val="0"/>
                <w:bCs w:val="0"/>
                <w:color w:val="000000"/>
                <w:kern w:val="0"/>
                <w:sz w:val="24"/>
                <w:lang w:val="en-US" w:eastAsia="zh-CN"/>
              </w:rPr>
            </w:pPr>
          </w:p>
        </w:tc>
      </w:tr>
      <w:tr w14:paraId="42353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1047" w:type="dxa"/>
            <w:vMerge w:val="continue"/>
            <w:tcBorders>
              <w:left w:val="single" w:color="auto" w:sz="4" w:space="0"/>
              <w:bottom w:val="single" w:color="auto" w:sz="4" w:space="0"/>
              <w:right w:val="single" w:color="auto" w:sz="4" w:space="0"/>
            </w:tcBorders>
            <w:vAlign w:val="center"/>
          </w:tcPr>
          <w:p w14:paraId="22042C48">
            <w:pPr>
              <w:widowControl/>
              <w:spacing w:line="280" w:lineRule="exact"/>
              <w:jc w:val="center"/>
              <w:rPr>
                <w:rFonts w:hint="eastAsia" w:ascii="仿宋_GB2312" w:hAnsi="仿宋_GB2312" w:eastAsia="仿宋_GB2312" w:cs="宋体"/>
                <w:color w:val="000000"/>
                <w:kern w:val="0"/>
                <w:sz w:val="24"/>
                <w:lang w:eastAsia="zh-CN"/>
              </w:rPr>
            </w:pPr>
          </w:p>
        </w:tc>
        <w:tc>
          <w:tcPr>
            <w:tcW w:w="1611" w:type="dxa"/>
            <w:tcBorders>
              <w:top w:val="single" w:color="auto" w:sz="4" w:space="0"/>
              <w:left w:val="single" w:color="auto" w:sz="4" w:space="0"/>
              <w:bottom w:val="single" w:color="auto" w:sz="4" w:space="0"/>
              <w:right w:val="single" w:color="auto" w:sz="4" w:space="0"/>
            </w:tcBorders>
            <w:vAlign w:val="center"/>
          </w:tcPr>
          <w:p w14:paraId="0A48D20F">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eastAsia="zh-CN"/>
              </w:rPr>
              <w:t>园区外</w:t>
            </w:r>
          </w:p>
        </w:tc>
        <w:tc>
          <w:tcPr>
            <w:tcW w:w="5670" w:type="dxa"/>
            <w:tcBorders>
              <w:top w:val="single" w:color="auto" w:sz="4" w:space="0"/>
              <w:left w:val="single" w:color="auto" w:sz="4" w:space="0"/>
              <w:bottom w:val="single" w:color="auto" w:sz="4" w:space="0"/>
              <w:right w:val="single" w:color="auto" w:sz="4" w:space="0"/>
            </w:tcBorders>
            <w:vAlign w:val="center"/>
          </w:tcPr>
          <w:p w14:paraId="212ACF1A">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val="en-US" w:eastAsia="zh-CN"/>
              </w:rPr>
              <w:t>湖南融众供应链有限公司、中国石油天然气股份有限公司湖南销售分公司望城区响塘湾加油站、中国石油天然气股份有限公司湖南销售分公司望城丁字湾加油站、中国石油天然气股份有限公司湖南销售分公司望城区湘杰加油站、中国石油天然气股份有限公司湖南销售分公司望城区高塘岭加油站、中国石油天然气股份有限公司湖南销售分公司望城区戴公桥加油站</w:t>
            </w:r>
          </w:p>
        </w:tc>
        <w:tc>
          <w:tcPr>
            <w:tcW w:w="1171" w:type="dxa"/>
            <w:vMerge w:val="continue"/>
            <w:tcBorders>
              <w:left w:val="single" w:color="auto" w:sz="4" w:space="0"/>
              <w:right w:val="single" w:color="auto" w:sz="4" w:space="0"/>
            </w:tcBorders>
            <w:vAlign w:val="center"/>
          </w:tcPr>
          <w:p w14:paraId="42B7C9D1">
            <w:pPr>
              <w:widowControl/>
              <w:spacing w:line="280" w:lineRule="exact"/>
              <w:jc w:val="both"/>
              <w:rPr>
                <w:rFonts w:hint="eastAsia" w:ascii="仿宋_GB2312" w:hAnsi="仿宋_GB2312" w:eastAsia="仿宋_GB2312" w:cs="宋体"/>
                <w:b w:val="0"/>
                <w:bCs w:val="0"/>
                <w:color w:val="000000"/>
                <w:kern w:val="0"/>
                <w:sz w:val="24"/>
                <w:lang w:eastAsia="zh-CN"/>
              </w:rPr>
            </w:pPr>
          </w:p>
        </w:tc>
      </w:tr>
      <w:tr w14:paraId="240D5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1047" w:type="dxa"/>
            <w:vMerge w:val="restart"/>
            <w:tcBorders>
              <w:top w:val="single" w:color="auto" w:sz="4" w:space="0"/>
              <w:left w:val="single" w:color="auto" w:sz="4" w:space="0"/>
              <w:right w:val="single" w:color="auto" w:sz="4" w:space="0"/>
            </w:tcBorders>
            <w:vAlign w:val="center"/>
          </w:tcPr>
          <w:p w14:paraId="3F7A9EFF">
            <w:pPr>
              <w:widowControl/>
              <w:spacing w:line="280" w:lineRule="exact"/>
              <w:jc w:val="center"/>
              <w:rPr>
                <w:rFonts w:hint="eastAsia" w:ascii="仿宋_GB2312" w:hAnsi="仿宋_GB2312" w:eastAsia="仿宋_GB2312" w:cs="宋体"/>
                <w:color w:val="000000"/>
                <w:kern w:val="0"/>
                <w:sz w:val="24"/>
                <w:lang w:eastAsia="zh-CN"/>
              </w:rPr>
            </w:pPr>
            <w:r>
              <w:rPr>
                <w:rFonts w:hint="eastAsia" w:ascii="仿宋_GB2312" w:hAnsi="仿宋_GB2312" w:eastAsia="仿宋_GB2312" w:cs="宋体"/>
                <w:color w:val="000000"/>
                <w:kern w:val="0"/>
                <w:sz w:val="24"/>
                <w:lang w:eastAsia="zh-CN"/>
              </w:rPr>
              <w:t>11月份</w:t>
            </w:r>
          </w:p>
        </w:tc>
        <w:tc>
          <w:tcPr>
            <w:tcW w:w="1611" w:type="dxa"/>
            <w:tcBorders>
              <w:top w:val="single" w:color="auto" w:sz="4" w:space="0"/>
              <w:left w:val="single" w:color="auto" w:sz="4" w:space="0"/>
              <w:bottom w:val="single" w:color="auto" w:sz="4" w:space="0"/>
              <w:right w:val="single" w:color="auto" w:sz="4" w:space="0"/>
            </w:tcBorders>
            <w:vAlign w:val="center"/>
          </w:tcPr>
          <w:p w14:paraId="71A78E2F">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eastAsia="zh-CN"/>
              </w:rPr>
              <w:t>园区内</w:t>
            </w:r>
          </w:p>
        </w:tc>
        <w:tc>
          <w:tcPr>
            <w:tcW w:w="5670" w:type="dxa"/>
            <w:tcBorders>
              <w:top w:val="single" w:color="auto" w:sz="4" w:space="0"/>
              <w:left w:val="single" w:color="auto" w:sz="4" w:space="0"/>
              <w:bottom w:val="single" w:color="auto" w:sz="4" w:space="0"/>
              <w:right w:val="single" w:color="auto" w:sz="4" w:space="0"/>
            </w:tcBorders>
            <w:vAlign w:val="center"/>
          </w:tcPr>
          <w:p w14:paraId="48B20084">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val="en-US" w:eastAsia="zh-CN"/>
              </w:rPr>
              <w:t>湖南三环颜料有限公司、湖南韦东建材有限公司、长沙铭远科技有限公司、长沙新林制药有限公司</w:t>
            </w:r>
          </w:p>
        </w:tc>
        <w:tc>
          <w:tcPr>
            <w:tcW w:w="1171" w:type="dxa"/>
            <w:vMerge w:val="continue"/>
            <w:tcBorders>
              <w:left w:val="single" w:color="auto" w:sz="4" w:space="0"/>
              <w:right w:val="single" w:color="auto" w:sz="4" w:space="0"/>
            </w:tcBorders>
            <w:vAlign w:val="center"/>
          </w:tcPr>
          <w:p w14:paraId="0CBDAE26">
            <w:pPr>
              <w:widowControl/>
              <w:spacing w:line="280" w:lineRule="exact"/>
              <w:jc w:val="both"/>
              <w:rPr>
                <w:rFonts w:hint="eastAsia" w:ascii="仿宋_GB2312" w:hAnsi="仿宋_GB2312" w:eastAsia="仿宋_GB2312" w:cs="宋体"/>
                <w:b w:val="0"/>
                <w:bCs w:val="0"/>
                <w:color w:val="000000"/>
                <w:kern w:val="0"/>
                <w:sz w:val="24"/>
                <w:lang w:eastAsia="zh-CN"/>
              </w:rPr>
            </w:pPr>
          </w:p>
        </w:tc>
      </w:tr>
      <w:tr w14:paraId="2B5C9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7" w:type="dxa"/>
            <w:vMerge w:val="continue"/>
            <w:tcBorders>
              <w:left w:val="single" w:color="auto" w:sz="4" w:space="0"/>
              <w:bottom w:val="single" w:color="auto" w:sz="4" w:space="0"/>
              <w:right w:val="single" w:color="auto" w:sz="4" w:space="0"/>
            </w:tcBorders>
            <w:vAlign w:val="center"/>
          </w:tcPr>
          <w:p w14:paraId="0907539C">
            <w:pPr>
              <w:widowControl/>
              <w:spacing w:line="280" w:lineRule="exact"/>
              <w:jc w:val="center"/>
              <w:rPr>
                <w:rFonts w:hint="eastAsia" w:ascii="仿宋_GB2312" w:hAnsi="仿宋_GB2312" w:eastAsia="仿宋_GB2312" w:cs="宋体"/>
                <w:color w:val="000000"/>
                <w:kern w:val="0"/>
                <w:sz w:val="24"/>
                <w:lang w:eastAsia="zh-CN"/>
              </w:rPr>
            </w:pPr>
          </w:p>
        </w:tc>
        <w:tc>
          <w:tcPr>
            <w:tcW w:w="1611" w:type="dxa"/>
            <w:tcBorders>
              <w:top w:val="single" w:color="auto" w:sz="4" w:space="0"/>
              <w:left w:val="single" w:color="auto" w:sz="4" w:space="0"/>
              <w:bottom w:val="single" w:color="auto" w:sz="4" w:space="0"/>
              <w:right w:val="single" w:color="auto" w:sz="4" w:space="0"/>
            </w:tcBorders>
            <w:vAlign w:val="center"/>
          </w:tcPr>
          <w:p w14:paraId="33623EA4">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eastAsia="zh-CN"/>
              </w:rPr>
              <w:t>园区外</w:t>
            </w:r>
          </w:p>
        </w:tc>
        <w:tc>
          <w:tcPr>
            <w:tcW w:w="5670" w:type="dxa"/>
            <w:tcBorders>
              <w:top w:val="single" w:color="auto" w:sz="4" w:space="0"/>
              <w:left w:val="single" w:color="auto" w:sz="4" w:space="0"/>
              <w:bottom w:val="single" w:color="auto" w:sz="4" w:space="0"/>
              <w:right w:val="single" w:color="auto" w:sz="4" w:space="0"/>
            </w:tcBorders>
            <w:vAlign w:val="center"/>
          </w:tcPr>
          <w:p w14:paraId="60E36E31">
            <w:pPr>
              <w:widowControl/>
              <w:spacing w:line="280" w:lineRule="exact"/>
              <w:jc w:val="center"/>
              <w:rPr>
                <w:rFonts w:hint="default"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val="en-US" w:eastAsia="zh-CN"/>
              </w:rPr>
              <w:t>长沙丁字油库有限公司、长沙市望城区桥北油料有限公司新中石化加油站、长沙市望城区乌山镇加油站有限公司、长沙市望城区铜官镇万星村国平柴油点、湖南永通石化能源有限责任公司永通大道加油站</w:t>
            </w:r>
          </w:p>
        </w:tc>
        <w:tc>
          <w:tcPr>
            <w:tcW w:w="1171" w:type="dxa"/>
            <w:vMerge w:val="continue"/>
            <w:tcBorders>
              <w:left w:val="single" w:color="auto" w:sz="4" w:space="0"/>
              <w:right w:val="single" w:color="auto" w:sz="4" w:space="0"/>
            </w:tcBorders>
            <w:vAlign w:val="center"/>
          </w:tcPr>
          <w:p w14:paraId="6F22F6B4">
            <w:pPr>
              <w:widowControl/>
              <w:spacing w:line="280" w:lineRule="exact"/>
              <w:jc w:val="both"/>
              <w:rPr>
                <w:rFonts w:hint="eastAsia" w:ascii="仿宋_GB2312" w:hAnsi="仿宋_GB2312" w:eastAsia="仿宋_GB2312" w:cs="宋体"/>
                <w:b w:val="0"/>
                <w:bCs w:val="0"/>
                <w:color w:val="000000"/>
                <w:kern w:val="0"/>
                <w:sz w:val="24"/>
                <w:lang w:eastAsia="zh-CN"/>
              </w:rPr>
            </w:pPr>
          </w:p>
        </w:tc>
      </w:tr>
      <w:tr w14:paraId="68191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1047" w:type="dxa"/>
            <w:vMerge w:val="restart"/>
            <w:tcBorders>
              <w:top w:val="single" w:color="auto" w:sz="4" w:space="0"/>
              <w:left w:val="single" w:color="auto" w:sz="4" w:space="0"/>
              <w:right w:val="single" w:color="auto" w:sz="4" w:space="0"/>
            </w:tcBorders>
            <w:vAlign w:val="center"/>
          </w:tcPr>
          <w:p w14:paraId="281D5BB6">
            <w:pPr>
              <w:widowControl/>
              <w:spacing w:line="280" w:lineRule="exact"/>
              <w:jc w:val="center"/>
              <w:rPr>
                <w:rFonts w:hint="eastAsia" w:ascii="仿宋_GB2312" w:hAnsi="仿宋_GB2312" w:eastAsia="仿宋_GB2312" w:cs="宋体"/>
                <w:color w:val="000000"/>
                <w:kern w:val="0"/>
                <w:sz w:val="24"/>
                <w:lang w:eastAsia="zh-CN"/>
              </w:rPr>
            </w:pPr>
            <w:r>
              <w:rPr>
                <w:rFonts w:hint="eastAsia" w:ascii="仿宋_GB2312" w:hAnsi="仿宋_GB2312" w:eastAsia="仿宋_GB2312" w:cs="宋体"/>
                <w:color w:val="000000"/>
                <w:kern w:val="0"/>
                <w:sz w:val="24"/>
                <w:lang w:eastAsia="zh-CN"/>
              </w:rPr>
              <w:t>12月份</w:t>
            </w:r>
          </w:p>
        </w:tc>
        <w:tc>
          <w:tcPr>
            <w:tcW w:w="1611" w:type="dxa"/>
            <w:tcBorders>
              <w:top w:val="single" w:color="auto" w:sz="4" w:space="0"/>
              <w:left w:val="single" w:color="auto" w:sz="4" w:space="0"/>
              <w:bottom w:val="single" w:color="auto" w:sz="4" w:space="0"/>
              <w:right w:val="single" w:color="auto" w:sz="4" w:space="0"/>
            </w:tcBorders>
            <w:vAlign w:val="center"/>
          </w:tcPr>
          <w:p w14:paraId="1DEF4098">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eastAsia="zh-CN"/>
              </w:rPr>
              <w:t>园区内</w:t>
            </w:r>
          </w:p>
        </w:tc>
        <w:tc>
          <w:tcPr>
            <w:tcW w:w="5670" w:type="dxa"/>
            <w:tcBorders>
              <w:top w:val="single" w:color="auto" w:sz="4" w:space="0"/>
              <w:left w:val="single" w:color="auto" w:sz="4" w:space="0"/>
              <w:bottom w:val="single" w:color="auto" w:sz="4" w:space="0"/>
              <w:right w:val="single" w:color="auto" w:sz="4" w:space="0"/>
            </w:tcBorders>
            <w:vAlign w:val="center"/>
          </w:tcPr>
          <w:p w14:paraId="4239B4A0">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val="en-US" w:eastAsia="zh-CN"/>
              </w:rPr>
              <w:t>湖南永杉锂业有限公司、艾维富虹（湖南）锌业有限公司、湖南新鸿胜化工有限公司</w:t>
            </w:r>
          </w:p>
        </w:tc>
        <w:tc>
          <w:tcPr>
            <w:tcW w:w="1171" w:type="dxa"/>
            <w:vMerge w:val="continue"/>
            <w:tcBorders>
              <w:left w:val="single" w:color="auto" w:sz="4" w:space="0"/>
              <w:bottom w:val="single" w:color="auto" w:sz="4" w:space="0"/>
              <w:right w:val="single" w:color="auto" w:sz="4" w:space="0"/>
            </w:tcBorders>
            <w:vAlign w:val="center"/>
          </w:tcPr>
          <w:p w14:paraId="278825EB">
            <w:pPr>
              <w:widowControl/>
              <w:spacing w:line="280" w:lineRule="exact"/>
              <w:jc w:val="both"/>
              <w:rPr>
                <w:rFonts w:hint="eastAsia" w:ascii="仿宋_GB2312" w:hAnsi="仿宋_GB2312" w:eastAsia="仿宋_GB2312" w:cs="宋体"/>
                <w:b w:val="0"/>
                <w:bCs w:val="0"/>
                <w:color w:val="000000"/>
                <w:kern w:val="0"/>
                <w:sz w:val="24"/>
                <w:lang w:eastAsia="zh-CN"/>
              </w:rPr>
            </w:pPr>
          </w:p>
        </w:tc>
      </w:tr>
      <w:tr w14:paraId="0A4DD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1047" w:type="dxa"/>
            <w:vMerge w:val="continue"/>
            <w:tcBorders>
              <w:left w:val="single" w:color="auto" w:sz="4" w:space="0"/>
              <w:bottom w:val="single" w:color="auto" w:sz="4" w:space="0"/>
              <w:right w:val="single" w:color="auto" w:sz="4" w:space="0"/>
            </w:tcBorders>
            <w:vAlign w:val="center"/>
          </w:tcPr>
          <w:p w14:paraId="039F511A">
            <w:pPr>
              <w:widowControl/>
              <w:spacing w:line="280" w:lineRule="exact"/>
              <w:jc w:val="center"/>
              <w:rPr>
                <w:rFonts w:hint="eastAsia" w:ascii="仿宋_GB2312" w:hAnsi="仿宋_GB2312" w:eastAsia="仿宋_GB2312" w:cs="宋体"/>
                <w:color w:val="000000"/>
                <w:kern w:val="0"/>
                <w:sz w:val="24"/>
                <w:lang w:eastAsia="zh-CN"/>
              </w:rPr>
            </w:pPr>
          </w:p>
        </w:tc>
        <w:tc>
          <w:tcPr>
            <w:tcW w:w="1611" w:type="dxa"/>
            <w:tcBorders>
              <w:top w:val="single" w:color="auto" w:sz="4" w:space="0"/>
              <w:left w:val="single" w:color="auto" w:sz="4" w:space="0"/>
              <w:bottom w:val="single" w:color="auto" w:sz="4" w:space="0"/>
              <w:right w:val="single" w:color="auto" w:sz="4" w:space="0"/>
            </w:tcBorders>
            <w:vAlign w:val="center"/>
          </w:tcPr>
          <w:p w14:paraId="0D56A67C">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eastAsia="zh-CN"/>
              </w:rPr>
              <w:t>园区外</w:t>
            </w:r>
          </w:p>
        </w:tc>
        <w:tc>
          <w:tcPr>
            <w:tcW w:w="5670" w:type="dxa"/>
            <w:tcBorders>
              <w:top w:val="single" w:color="auto" w:sz="4" w:space="0"/>
              <w:left w:val="single" w:color="auto" w:sz="4" w:space="0"/>
              <w:bottom w:val="single" w:color="auto" w:sz="4" w:space="0"/>
              <w:right w:val="single" w:color="auto" w:sz="4" w:space="0"/>
            </w:tcBorders>
            <w:vAlign w:val="center"/>
          </w:tcPr>
          <w:p w14:paraId="7547F85B">
            <w:pPr>
              <w:widowControl/>
              <w:spacing w:line="280" w:lineRule="exact"/>
              <w:jc w:val="center"/>
              <w:rPr>
                <w:rFonts w:hint="eastAsia" w:ascii="仿宋_GB2312" w:hAnsi="仿宋_GB2312" w:eastAsia="仿宋_GB2312" w:cs="宋体"/>
                <w:color w:val="000000"/>
                <w:kern w:val="0"/>
                <w:sz w:val="24"/>
                <w:lang w:val="en-US" w:eastAsia="zh-CN"/>
              </w:rPr>
            </w:pPr>
            <w:r>
              <w:rPr>
                <w:rFonts w:hint="eastAsia" w:ascii="仿宋_GB2312" w:hAnsi="仿宋_GB2312" w:eastAsia="仿宋_GB2312" w:cs="宋体"/>
                <w:color w:val="000000"/>
                <w:kern w:val="0"/>
                <w:sz w:val="24"/>
                <w:lang w:val="en-US" w:eastAsia="zh-CN"/>
              </w:rPr>
              <w:t>中化石油湖南有限公司长沙市长沙中格加油站、湖南恒丹能源有限责任公司湘兰加油站、长沙市望城区天意石油制品有限公司石渚湖加油加气站、长沙市望城区璟和加油站管理有限公司沙田加油站、中国石化销售有限公司湖南长沙望城分公司双桂加油站</w:t>
            </w:r>
          </w:p>
        </w:tc>
        <w:tc>
          <w:tcPr>
            <w:tcW w:w="1171" w:type="dxa"/>
            <w:tcBorders>
              <w:left w:val="single" w:color="auto" w:sz="4" w:space="0"/>
              <w:bottom w:val="single" w:color="auto" w:sz="4" w:space="0"/>
              <w:right w:val="single" w:color="auto" w:sz="4" w:space="0"/>
            </w:tcBorders>
            <w:vAlign w:val="center"/>
          </w:tcPr>
          <w:p w14:paraId="5C81A9DB">
            <w:pPr>
              <w:widowControl/>
              <w:spacing w:line="280" w:lineRule="exact"/>
              <w:jc w:val="both"/>
              <w:rPr>
                <w:rFonts w:hint="eastAsia" w:ascii="仿宋_GB2312" w:hAnsi="仿宋_GB2312" w:eastAsia="仿宋_GB2312" w:cs="宋体"/>
                <w:b w:val="0"/>
                <w:bCs w:val="0"/>
                <w:color w:val="000000"/>
                <w:kern w:val="0"/>
                <w:sz w:val="24"/>
                <w:lang w:eastAsia="zh-CN"/>
              </w:rPr>
            </w:pPr>
          </w:p>
        </w:tc>
      </w:tr>
      <w:tr w14:paraId="1AC52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jc w:val="center"/>
        </w:trPr>
        <w:tc>
          <w:tcPr>
            <w:tcW w:w="1047" w:type="dxa"/>
            <w:tcBorders>
              <w:top w:val="single" w:color="auto" w:sz="4" w:space="0"/>
              <w:left w:val="single" w:color="auto" w:sz="4" w:space="0"/>
              <w:bottom w:val="single" w:color="auto" w:sz="4" w:space="0"/>
              <w:right w:val="single" w:color="auto" w:sz="4" w:space="0"/>
            </w:tcBorders>
            <w:vAlign w:val="center"/>
          </w:tcPr>
          <w:p w14:paraId="7CB408AB">
            <w:pPr>
              <w:widowControl/>
              <w:spacing w:line="280" w:lineRule="exact"/>
              <w:ind w:left="0" w:leftChars="0" w:right="0" w:rightChars="0"/>
              <w:jc w:val="center"/>
              <w:rPr>
                <w:rFonts w:hint="eastAsia" w:ascii="仿宋_GB2312" w:hAnsi="仿宋_GB2312" w:eastAsia="仿宋_GB2312" w:cs="宋体"/>
                <w:color w:val="000000"/>
                <w:kern w:val="0"/>
                <w:sz w:val="24"/>
                <w:szCs w:val="22"/>
                <w:lang w:val="zh-CN" w:eastAsia="zh-CN" w:bidi="zh-CN"/>
              </w:rPr>
            </w:pPr>
            <w:r>
              <w:rPr>
                <w:rFonts w:hint="eastAsia" w:ascii="仿宋_GB2312" w:hAnsi="仿宋_GB2312" w:eastAsia="仿宋_GB2312" w:cs="宋体"/>
                <w:color w:val="000000"/>
                <w:kern w:val="0"/>
                <w:sz w:val="24"/>
                <w:lang w:eastAsia="zh-CN"/>
              </w:rPr>
              <w:t>说明</w:t>
            </w:r>
          </w:p>
        </w:tc>
        <w:tc>
          <w:tcPr>
            <w:tcW w:w="1611" w:type="dxa"/>
            <w:tcBorders>
              <w:top w:val="single" w:color="auto" w:sz="4" w:space="0"/>
              <w:left w:val="single" w:color="auto" w:sz="4" w:space="0"/>
              <w:bottom w:val="single" w:color="auto" w:sz="4" w:space="0"/>
              <w:right w:val="single" w:color="auto" w:sz="4" w:space="0"/>
            </w:tcBorders>
            <w:vAlign w:val="center"/>
          </w:tcPr>
          <w:p w14:paraId="1499F359">
            <w:pPr>
              <w:widowControl/>
              <w:spacing w:line="280" w:lineRule="exact"/>
              <w:ind w:left="0" w:leftChars="0" w:right="0" w:rightChars="0"/>
              <w:jc w:val="center"/>
              <w:rPr>
                <w:rFonts w:hint="eastAsia" w:ascii="仿宋_GB2312" w:hAnsi="仿宋_GB2312" w:eastAsia="仿宋_GB2312" w:cs="宋体"/>
                <w:color w:val="000000"/>
                <w:kern w:val="0"/>
                <w:sz w:val="24"/>
                <w:lang w:eastAsia="zh-CN"/>
              </w:rPr>
            </w:pPr>
          </w:p>
        </w:tc>
        <w:tc>
          <w:tcPr>
            <w:tcW w:w="6841" w:type="dxa"/>
            <w:gridSpan w:val="2"/>
            <w:tcBorders>
              <w:top w:val="single" w:color="auto" w:sz="4" w:space="0"/>
              <w:left w:val="single" w:color="auto" w:sz="4" w:space="0"/>
              <w:bottom w:val="single" w:color="auto" w:sz="4" w:space="0"/>
              <w:right w:val="single" w:color="auto" w:sz="4" w:space="0"/>
            </w:tcBorders>
            <w:vAlign w:val="center"/>
          </w:tcPr>
          <w:p w14:paraId="3B19C846">
            <w:pPr>
              <w:widowControl/>
              <w:spacing w:line="280" w:lineRule="exact"/>
              <w:jc w:val="both"/>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1、根据本区危化和烟花行业分布，本年度选取了危化和烟花行业共计102家企业作为计划执法对象。另，每季度随机抽查烟花爆竹门店3家、危险化学品纯贸易企业5家（监督检查计划内涉及园区企业的具体工作任务由我局安排至园区的6名工作人员完成）；</w:t>
            </w:r>
          </w:p>
          <w:p w14:paraId="3C7C4C39">
            <w:pPr>
              <w:widowControl/>
              <w:spacing w:line="280" w:lineRule="exact"/>
              <w:jc w:val="both"/>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2、纳入执法计划的企业按照重点检查内容逐项检查；</w:t>
            </w:r>
          </w:p>
          <w:p w14:paraId="01BD9B4C">
            <w:pPr>
              <w:widowControl/>
              <w:spacing w:line="280" w:lineRule="exact"/>
              <w:jc w:val="both"/>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3、专项整治结合计划执法一并进行。</w:t>
            </w:r>
          </w:p>
        </w:tc>
      </w:tr>
    </w:tbl>
    <w:p w14:paraId="2A6CD31B">
      <w:pPr>
        <w:pStyle w:val="2"/>
        <w:rPr>
          <w:rFonts w:eastAsia="仿宋_GB2312"/>
          <w:sz w:val="32"/>
          <w:szCs w:val="32"/>
          <w:lang w:val="zh-CN"/>
        </w:rPr>
      </w:pPr>
    </w:p>
    <w:p w14:paraId="3522416A">
      <w:pPr>
        <w:pStyle w:val="2"/>
        <w:rPr>
          <w:rFonts w:eastAsia="仿宋_GB2312"/>
          <w:sz w:val="32"/>
          <w:szCs w:val="32"/>
          <w:lang w:val="zh-CN"/>
        </w:rPr>
      </w:pPr>
    </w:p>
    <w:p w14:paraId="0563C9DA">
      <w:pPr>
        <w:pStyle w:val="2"/>
        <w:rPr>
          <w:rFonts w:eastAsia="仿宋_GB2312"/>
          <w:sz w:val="32"/>
          <w:szCs w:val="32"/>
          <w:lang w:val="zh-CN"/>
        </w:rPr>
      </w:pPr>
    </w:p>
    <w:p w14:paraId="644DAE22">
      <w:pPr>
        <w:pStyle w:val="2"/>
        <w:rPr>
          <w:rFonts w:eastAsia="仿宋_GB2312"/>
          <w:sz w:val="32"/>
          <w:szCs w:val="32"/>
          <w:lang w:val="zh-CN"/>
        </w:rPr>
      </w:pPr>
    </w:p>
    <w:p w14:paraId="4FB54AF7">
      <w:pPr>
        <w:pStyle w:val="2"/>
        <w:rPr>
          <w:rFonts w:eastAsia="仿宋_GB2312"/>
          <w:sz w:val="32"/>
          <w:szCs w:val="32"/>
          <w:lang w:val="zh-CN"/>
        </w:rPr>
      </w:pPr>
    </w:p>
    <w:p w14:paraId="6C2F5870">
      <w:pPr>
        <w:pStyle w:val="2"/>
        <w:rPr>
          <w:rFonts w:eastAsia="仿宋_GB2312"/>
          <w:sz w:val="32"/>
          <w:szCs w:val="32"/>
          <w:lang w:val="zh-CN"/>
        </w:rPr>
      </w:pPr>
    </w:p>
    <w:p w14:paraId="17BB0D65">
      <w:pPr>
        <w:keepNext w:val="0"/>
        <w:keepLines w:val="0"/>
        <w:pageBreakBefore w:val="0"/>
        <w:wordWrap/>
        <w:overflowPunct/>
        <w:bidi w:val="0"/>
        <w:adjustRightInd w:val="0"/>
        <w:snapToGrid w:val="0"/>
        <w:spacing w:line="600" w:lineRule="exact"/>
        <w:ind w:right="0"/>
        <w:rPr>
          <w:rFonts w:eastAsia="仿宋_GB2312"/>
          <w:sz w:val="32"/>
          <w:szCs w:val="32"/>
          <w:lang w:val="zh-CN"/>
        </w:rPr>
      </w:pPr>
    </w:p>
    <w:p w14:paraId="015B151E">
      <w:pPr>
        <w:keepNext w:val="0"/>
        <w:keepLines w:val="0"/>
        <w:pageBreakBefore w:val="0"/>
        <w:wordWrap/>
        <w:overflowPunct/>
        <w:bidi w:val="0"/>
        <w:adjustRightInd w:val="0"/>
        <w:snapToGrid w:val="0"/>
        <w:spacing w:line="600" w:lineRule="exact"/>
        <w:ind w:right="0"/>
        <w:rPr>
          <w:rFonts w:eastAsia="仿宋_GB2312"/>
          <w:sz w:val="32"/>
          <w:szCs w:val="32"/>
          <w:lang w:val="zh-CN"/>
        </w:rPr>
      </w:pPr>
    </w:p>
    <w:p w14:paraId="1A3E9BB7">
      <w:pPr>
        <w:keepNext w:val="0"/>
        <w:keepLines w:val="0"/>
        <w:pageBreakBefore w:val="0"/>
        <w:wordWrap/>
        <w:overflowPunct/>
        <w:bidi w:val="0"/>
        <w:adjustRightInd w:val="0"/>
        <w:snapToGrid w:val="0"/>
        <w:spacing w:line="600" w:lineRule="exact"/>
        <w:ind w:right="0"/>
        <w:rPr>
          <w:rFonts w:eastAsia="仿宋_GB2312"/>
          <w:sz w:val="32"/>
          <w:szCs w:val="32"/>
          <w:lang w:val="zh-CN"/>
        </w:rPr>
      </w:pPr>
    </w:p>
    <w:p w14:paraId="2C1D5266">
      <w:pPr>
        <w:pStyle w:val="4"/>
        <w:keepNext w:val="0"/>
        <w:keepLines w:val="0"/>
        <w:pageBreakBefore w:val="0"/>
        <w:kinsoku/>
        <w:wordWrap/>
        <w:overflowPunct/>
        <w:topLinePunct w:val="0"/>
        <w:autoSpaceDE/>
        <w:autoSpaceDN/>
        <w:bidi w:val="0"/>
        <w:adjustRightInd/>
        <w:snapToGrid/>
        <w:spacing w:line="600" w:lineRule="exact"/>
        <w:ind w:left="0" w:leftChars="0" w:firstLine="0" w:firstLineChars="0"/>
        <w:jc w:val="both"/>
        <w:rPr>
          <w:rFonts w:hint="eastAsia" w:eastAsia="黑体"/>
          <w:sz w:val="32"/>
          <w:szCs w:val="32"/>
          <w:lang w:val="en" w:eastAsia="zh-CN"/>
        </w:rPr>
      </w:pPr>
      <w:r>
        <w:rPr>
          <w:rFonts w:eastAsia="黑体"/>
          <w:sz w:val="32"/>
          <w:szCs w:val="32"/>
          <w:lang w:val="en"/>
        </w:rPr>
        <w:t>附件</w:t>
      </w:r>
      <w:r>
        <w:rPr>
          <w:rFonts w:hint="eastAsia" w:eastAsia="黑体"/>
          <w:sz w:val="32"/>
          <w:szCs w:val="32"/>
          <w:lang w:val="en-US" w:eastAsia="zh-CN"/>
        </w:rPr>
        <w:t>2</w:t>
      </w:r>
    </w:p>
    <w:p w14:paraId="3178C29B">
      <w:pPr>
        <w:pStyle w:val="4"/>
        <w:keepNext w:val="0"/>
        <w:keepLines w:val="0"/>
        <w:pageBreakBefore w:val="0"/>
        <w:kinsoku/>
        <w:wordWrap/>
        <w:overflowPunct/>
        <w:topLinePunct w:val="0"/>
        <w:autoSpaceDE/>
        <w:autoSpaceDN/>
        <w:bidi w:val="0"/>
        <w:adjustRightInd/>
        <w:snapToGrid/>
        <w:spacing w:line="600" w:lineRule="exact"/>
        <w:ind w:left="0" w:leftChars="0" w:firstLine="0" w:firstLineChars="0"/>
        <w:jc w:val="center"/>
        <w:rPr>
          <w:rFonts w:hint="eastAsia" w:ascii="方正小标宋简体" w:hAnsi="方正小标宋简体" w:eastAsia="方正小标宋简体" w:cs="方正小标宋简体"/>
          <w:sz w:val="44"/>
          <w:szCs w:val="44"/>
        </w:rPr>
      </w:pPr>
    </w:p>
    <w:p w14:paraId="7708A62A">
      <w:pPr>
        <w:pStyle w:val="4"/>
        <w:keepNext w:val="0"/>
        <w:keepLines w:val="0"/>
        <w:pageBreakBefore w:val="0"/>
        <w:kinsoku/>
        <w:wordWrap/>
        <w:overflowPunct/>
        <w:topLinePunct w:val="0"/>
        <w:autoSpaceDE/>
        <w:autoSpaceDN/>
        <w:bidi w:val="0"/>
        <w:adjustRightInd/>
        <w:snapToGrid/>
        <w:spacing w:line="600" w:lineRule="exact"/>
        <w:ind w:left="0" w:leftChars="0" w:firstLine="0" w:firstLineChars="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
        </w:rPr>
        <w:t>202</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lang w:val="en"/>
        </w:rPr>
        <w:t>年度工贸行业</w:t>
      </w:r>
      <w:r>
        <w:rPr>
          <w:rFonts w:hint="eastAsia" w:ascii="方正小标宋简体" w:hAnsi="方正小标宋简体" w:eastAsia="方正小标宋简体" w:cs="方正小标宋简体"/>
          <w:sz w:val="44"/>
          <w:szCs w:val="44"/>
          <w:lang w:val="zh-CN"/>
        </w:rPr>
        <w:t>监督检查计划</w:t>
      </w:r>
    </w:p>
    <w:p w14:paraId="4EB3834E">
      <w:pPr>
        <w:pStyle w:val="3"/>
        <w:keepNext w:val="0"/>
        <w:keepLines w:val="0"/>
        <w:pageBreakBefore w:val="0"/>
        <w:kinsoku/>
        <w:wordWrap/>
        <w:overflowPunct/>
        <w:topLinePunct w:val="0"/>
        <w:autoSpaceDE/>
        <w:autoSpaceDN/>
        <w:bidi w:val="0"/>
        <w:adjustRightInd/>
        <w:snapToGrid/>
        <w:spacing w:line="600" w:lineRule="exact"/>
        <w:ind w:left="747"/>
        <w:rPr>
          <w:rFonts w:hint="eastAsia" w:ascii="仿宋_GB2312" w:hAnsi="仿宋_GB2312" w:eastAsia="仿宋_GB2312" w:cs="仿宋_GB2312"/>
          <w:sz w:val="32"/>
          <w:szCs w:val="32"/>
        </w:rPr>
      </w:pPr>
    </w:p>
    <w:p w14:paraId="65F01F6D">
      <w:pPr>
        <w:pStyle w:val="3"/>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textAlignment w:val="auto"/>
        <w:rPr>
          <w:rFonts w:hint="default" w:ascii="仿宋_GB2312" w:hAnsi="仿宋_GB2312" w:eastAsia="黑体" w:cs="仿宋_GB2312"/>
          <w:sz w:val="32"/>
          <w:szCs w:val="32"/>
          <w:lang w:val="en-US" w:eastAsia="zh-CN"/>
        </w:rPr>
      </w:pPr>
      <w:r>
        <w:rPr>
          <w:rFonts w:hint="eastAsia" w:ascii="黑体" w:hAnsi="黑体" w:eastAsia="黑体" w:cs="黑体"/>
          <w:sz w:val="32"/>
          <w:szCs w:val="32"/>
        </w:rPr>
        <w:t>一、</w:t>
      </w:r>
      <w:r>
        <w:rPr>
          <w:rFonts w:hint="eastAsia" w:ascii="黑体" w:hAnsi="黑体" w:eastAsia="黑体" w:cs="黑体"/>
          <w:color w:val="000000"/>
          <w:sz w:val="32"/>
          <w:szCs w:val="32"/>
          <w:lang w:eastAsia="zh-CN"/>
        </w:rPr>
        <w:t>监督检查对象</w:t>
      </w:r>
      <w:r>
        <w:rPr>
          <w:rFonts w:hint="eastAsia" w:ascii="黑体" w:hAnsi="黑体" w:eastAsia="黑体" w:cs="黑体"/>
          <w:sz w:val="32"/>
          <w:szCs w:val="32"/>
        </w:rPr>
        <w:t>基本情况</w:t>
      </w:r>
    </w:p>
    <w:p w14:paraId="0317F0F5">
      <w:pPr>
        <w:pStyle w:val="3"/>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textAlignment w:val="auto"/>
        <w:rPr>
          <w:rFonts w:hint="eastAsia" w:ascii="仿宋_GB2312" w:hAnsi="宋体" w:eastAsia="仿宋_GB2312" w:cs="仿宋_GB2312"/>
          <w:color w:val="000000"/>
          <w:kern w:val="0"/>
          <w:sz w:val="32"/>
          <w:szCs w:val="32"/>
          <w:lang w:val="en-US" w:eastAsia="zh-CN" w:bidi="ar"/>
        </w:rPr>
      </w:pPr>
      <w:r>
        <w:rPr>
          <w:rFonts w:hint="eastAsia" w:ascii="仿宋_GB2312" w:eastAsia="仿宋_GB2312" w:cs="仿宋_GB2312"/>
          <w:color w:val="000000"/>
          <w:kern w:val="0"/>
          <w:sz w:val="32"/>
          <w:szCs w:val="32"/>
          <w:lang w:val="en-US" w:eastAsia="zh-CN" w:bidi="ar"/>
        </w:rPr>
        <w:t>初步统计，全</w:t>
      </w:r>
      <w:r>
        <w:rPr>
          <w:rFonts w:hint="eastAsia" w:ascii="仿宋_GB2312" w:hAnsi="宋体" w:eastAsia="仿宋_GB2312" w:cs="仿宋_GB2312"/>
          <w:color w:val="000000"/>
          <w:kern w:val="0"/>
          <w:sz w:val="32"/>
          <w:szCs w:val="32"/>
          <w:lang w:val="en-US" w:eastAsia="zh-CN" w:bidi="ar"/>
        </w:rPr>
        <w:t>区工贸企业数量为620家，</w:t>
      </w:r>
      <w:r>
        <w:rPr>
          <w:rFonts w:hint="eastAsia" w:ascii="仿宋_GB2312" w:eastAsia="仿宋_GB2312" w:cs="仿宋_GB2312"/>
          <w:color w:val="000000"/>
          <w:kern w:val="0"/>
          <w:sz w:val="32"/>
          <w:szCs w:val="32"/>
          <w:lang w:val="en-US" w:eastAsia="zh-CN" w:bidi="ar"/>
        </w:rPr>
        <w:t>其中有色5家、纺织行业6家、建材行业45家、商贸行业60家、轻工行业175家、机械行业329家，冶金、烟草行业均为0</w:t>
      </w:r>
      <w:r>
        <w:rPr>
          <w:rFonts w:hint="eastAsia" w:ascii="仿宋_GB2312" w:hAnsi="宋体" w:eastAsia="仿宋_GB2312" w:cs="仿宋_GB2312"/>
          <w:color w:val="000000"/>
          <w:kern w:val="0"/>
          <w:sz w:val="32"/>
          <w:szCs w:val="32"/>
          <w:lang w:val="en-US" w:eastAsia="zh-CN" w:bidi="ar"/>
        </w:rPr>
        <w:t>。</w:t>
      </w:r>
    </w:p>
    <w:p w14:paraId="5D6B4DEA">
      <w:pPr>
        <w:pStyle w:val="3"/>
        <w:keepNext w:val="0"/>
        <w:keepLines w:val="0"/>
        <w:pageBreakBefore w:val="0"/>
        <w:widowControl w:val="0"/>
        <w:kinsoku/>
        <w:wordWrap/>
        <w:overflowPunct/>
        <w:topLinePunct w:val="0"/>
        <w:autoSpaceDE/>
        <w:autoSpaceDN/>
        <w:bidi w:val="0"/>
        <w:adjustRightInd/>
        <w:snapToGrid/>
        <w:spacing w:after="0" w:line="600" w:lineRule="exact"/>
        <w:ind w:left="0" w:right="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w:t>
      </w:r>
      <w:r>
        <w:rPr>
          <w:rFonts w:hint="eastAsia" w:ascii="黑体" w:hAnsi="黑体" w:eastAsia="黑体" w:cs="黑体"/>
          <w:color w:val="000000"/>
          <w:sz w:val="32"/>
          <w:szCs w:val="32"/>
          <w:lang w:eastAsia="zh-CN"/>
        </w:rPr>
        <w:t>检查方式及频次</w:t>
      </w:r>
    </w:p>
    <w:p w14:paraId="7841DEAF">
      <w:pPr>
        <w:keepNext w:val="0"/>
        <w:keepLines w:val="0"/>
        <w:pageBreakBefore w:val="0"/>
        <w:widowControl w:val="0"/>
        <w:kinsoku/>
        <w:wordWrap/>
        <w:overflowPunct/>
        <w:topLinePunct w:val="0"/>
        <w:autoSpaceDE/>
        <w:bidi w:val="0"/>
        <w:adjustRightInd w:val="0"/>
        <w:snapToGrid w:val="0"/>
        <w:spacing w:line="600" w:lineRule="exact"/>
        <w:ind w:left="0" w:leftChars="0" w:right="0" w:firstLine="640" w:firstLineChars="20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color w:val="000000"/>
          <w:sz w:val="32"/>
          <w:szCs w:val="32"/>
          <w:lang w:eastAsia="zh-CN"/>
        </w:rPr>
        <w:t>按照“突出重点、兼顾一般”的原则，</w:t>
      </w:r>
      <w:r>
        <w:rPr>
          <w:rFonts w:hint="eastAsia" w:ascii="Times New Roman" w:hAnsi="Times New Roman" w:eastAsia="仿宋_GB2312"/>
          <w:color w:val="000000"/>
          <w:sz w:val="32"/>
          <w:szCs w:val="32"/>
          <w:lang w:eastAsia="zh-CN"/>
        </w:rPr>
        <w:t>本年度计划检查</w:t>
      </w:r>
      <w:r>
        <w:rPr>
          <w:rFonts w:hint="eastAsia" w:ascii="Times New Roman" w:hAnsi="Times New Roman" w:eastAsia="仿宋_GB2312"/>
          <w:color w:val="000000"/>
          <w:sz w:val="32"/>
          <w:szCs w:val="32"/>
          <w:lang w:val="en-US" w:eastAsia="zh-CN"/>
        </w:rPr>
        <w:t>97家</w:t>
      </w:r>
      <w:r>
        <w:rPr>
          <w:rFonts w:hint="eastAsia" w:ascii="仿宋_GB2312" w:hAnsi="仿宋_GB2312" w:eastAsia="仿宋_GB2312" w:cs="仿宋_GB2312"/>
          <w:color w:val="000000"/>
          <w:sz w:val="32"/>
          <w:szCs w:val="32"/>
        </w:rPr>
        <w:t>，“双随机”</w:t>
      </w:r>
      <w:r>
        <w:rPr>
          <w:rFonts w:hint="eastAsia" w:ascii="仿宋_GB2312" w:hAnsi="仿宋_GB2312" w:eastAsia="仿宋_GB2312" w:cs="仿宋_GB2312"/>
          <w:color w:val="000000"/>
          <w:sz w:val="32"/>
          <w:szCs w:val="32"/>
          <w:lang w:val="en-US" w:eastAsia="zh-CN"/>
        </w:rPr>
        <w:t>结合省、市组织的专项检查随机</w:t>
      </w:r>
      <w:r>
        <w:rPr>
          <w:rFonts w:hint="eastAsia" w:ascii="仿宋_GB2312" w:hAnsi="仿宋_GB2312" w:eastAsia="仿宋_GB2312" w:cs="仿宋_GB2312"/>
          <w:color w:val="000000"/>
          <w:sz w:val="32"/>
          <w:szCs w:val="32"/>
        </w:rPr>
        <w:t>抽查</w:t>
      </w:r>
      <w:r>
        <w:rPr>
          <w:rFonts w:hint="eastAsia" w:ascii="仿宋_GB2312" w:hAnsi="仿宋_GB2312" w:eastAsia="仿宋_GB2312" w:cs="仿宋_GB2312"/>
          <w:color w:val="000000"/>
          <w:sz w:val="32"/>
          <w:szCs w:val="32"/>
          <w:lang w:val="en-US" w:eastAsia="zh-CN"/>
        </w:rPr>
        <w:t>30家</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一季度突出粉尘防爆专项整治、二季度突出有限空间专项整治、三季度突出危险化学品专项整治、四季度突出劳动密集企业专项整治。</w:t>
      </w:r>
    </w:p>
    <w:p w14:paraId="3EB821CE">
      <w:pPr>
        <w:keepNext w:val="0"/>
        <w:keepLines w:val="0"/>
        <w:pageBreakBefore w:val="0"/>
        <w:widowControl w:val="0"/>
        <w:kinsoku/>
        <w:wordWrap/>
        <w:overflowPunct/>
        <w:topLinePunct w:val="0"/>
        <w:autoSpaceDE/>
        <w:bidi w:val="0"/>
        <w:adjustRightInd w:val="0"/>
        <w:snapToGrid w:val="0"/>
        <w:spacing w:line="600" w:lineRule="exact"/>
        <w:ind w:left="0" w:leftChars="0" w:right="0" w:firstLine="640" w:firstLineChars="200"/>
        <w:textAlignment w:val="auto"/>
        <w:rPr>
          <w:rFonts w:hint="eastAsia" w:ascii="黑体" w:hAnsi="黑体" w:eastAsia="黑体" w:cs="黑体"/>
          <w:color w:val="000000"/>
          <w:sz w:val="32"/>
          <w:szCs w:val="32"/>
          <w:lang w:val="en-US" w:eastAsia="zh-CN"/>
        </w:rPr>
      </w:pPr>
      <w:r>
        <w:rPr>
          <w:rFonts w:hint="eastAsia" w:ascii="黑体" w:hAnsi="黑体" w:eastAsia="黑体" w:cs="黑体"/>
          <w:sz w:val="32"/>
          <w:szCs w:val="32"/>
        </w:rPr>
        <w:t>三、</w:t>
      </w:r>
      <w:r>
        <w:rPr>
          <w:rFonts w:hint="eastAsia" w:ascii="黑体" w:hAnsi="黑体" w:eastAsia="黑体" w:cs="黑体"/>
          <w:color w:val="000000"/>
          <w:sz w:val="32"/>
          <w:szCs w:val="32"/>
          <w:lang w:val="en-US" w:eastAsia="zh-CN"/>
        </w:rPr>
        <w:t>重点检查内容</w:t>
      </w:r>
    </w:p>
    <w:p w14:paraId="29940053">
      <w:pPr>
        <w:pStyle w:val="12"/>
        <w:keepNext w:val="0"/>
        <w:keepLines w:val="0"/>
        <w:pageBreakBefore w:val="0"/>
        <w:widowControl w:val="0"/>
        <w:kinsoku/>
        <w:wordWrap/>
        <w:overflowPunct/>
        <w:topLinePunct w:val="0"/>
        <w:bidi w:val="0"/>
        <w:spacing w:line="600" w:lineRule="exact"/>
        <w:ind w:left="0" w:right="0" w:firstLine="640"/>
        <w:textAlignment w:val="auto"/>
        <w:rPr>
          <w:rFonts w:hint="eastAsia" w:ascii="楷体_GB2312" w:hAnsi="楷体_GB2312" w:eastAsia="楷体_GB2312" w:cs="楷体_GB2312"/>
          <w:b/>
          <w:bCs/>
          <w:color w:val="auto"/>
          <w:kern w:val="0"/>
          <w:sz w:val="32"/>
          <w:szCs w:val="32"/>
          <w:lang w:val="en-US" w:eastAsia="zh-CN" w:bidi="zh-CN"/>
        </w:rPr>
      </w:pPr>
      <w:r>
        <w:rPr>
          <w:rFonts w:hint="eastAsia" w:ascii="黑体" w:hAnsi="黑体" w:eastAsia="黑体" w:cs="黑体"/>
          <w:sz w:val="32"/>
          <w:szCs w:val="32"/>
          <w:lang w:val="en-US" w:eastAsia="zh-CN"/>
        </w:rPr>
        <w:t>（</w:t>
      </w:r>
      <w:r>
        <w:rPr>
          <w:rFonts w:hint="eastAsia" w:ascii="楷体_GB2312" w:hAnsi="楷体_GB2312" w:eastAsia="楷体_GB2312" w:cs="楷体_GB2312"/>
          <w:b/>
          <w:bCs/>
          <w:color w:val="auto"/>
          <w:kern w:val="0"/>
          <w:sz w:val="32"/>
          <w:szCs w:val="32"/>
          <w:lang w:val="en-US" w:eastAsia="zh-CN" w:bidi="zh-CN"/>
        </w:rPr>
        <w:t>一）资料台账</w:t>
      </w:r>
    </w:p>
    <w:p w14:paraId="626979BA">
      <w:pPr>
        <w:keepNext w:val="0"/>
        <w:keepLines w:val="0"/>
        <w:pageBreakBefore w:val="0"/>
        <w:widowControl w:val="0"/>
        <w:kinsoku/>
        <w:wordWrap/>
        <w:overflowPunct/>
        <w:topLinePunct w:val="0"/>
        <w:bidi w:val="0"/>
        <w:spacing w:line="600" w:lineRule="exact"/>
        <w:ind w:left="0" w:right="0" w:firstLine="640" w:firstLineChars="200"/>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1、安全生产责任制建立落实情况</w:t>
      </w:r>
    </w:p>
    <w:p w14:paraId="402410EE">
      <w:pPr>
        <w:pStyle w:val="12"/>
        <w:keepNext w:val="0"/>
        <w:keepLines w:val="0"/>
        <w:pageBreakBefore w:val="0"/>
        <w:widowControl w:val="0"/>
        <w:kinsoku/>
        <w:wordWrap/>
        <w:overflowPunct/>
        <w:topLinePunct w:val="0"/>
        <w:bidi w:val="0"/>
        <w:spacing w:line="600" w:lineRule="exact"/>
        <w:ind w:left="0" w:right="0" w:firstLine="640"/>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2、安全生产规章制度和操作规程制定实施情况</w:t>
      </w:r>
    </w:p>
    <w:p w14:paraId="03DE7680">
      <w:pPr>
        <w:keepNext w:val="0"/>
        <w:keepLines w:val="0"/>
        <w:pageBreakBefore w:val="0"/>
        <w:widowControl w:val="0"/>
        <w:kinsoku/>
        <w:wordWrap/>
        <w:overflowPunct/>
        <w:topLinePunct w:val="0"/>
        <w:bidi w:val="0"/>
        <w:spacing w:line="600" w:lineRule="exact"/>
        <w:ind w:left="0" w:right="0" w:firstLine="640"/>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3、安全生产教育培训计划制定落实情况</w:t>
      </w:r>
    </w:p>
    <w:p w14:paraId="1CFC94F4">
      <w:pPr>
        <w:keepNext w:val="0"/>
        <w:keepLines w:val="0"/>
        <w:pageBreakBefore w:val="0"/>
        <w:widowControl w:val="0"/>
        <w:kinsoku/>
        <w:wordWrap/>
        <w:overflowPunct/>
        <w:topLinePunct w:val="0"/>
        <w:bidi w:val="0"/>
        <w:spacing w:line="600" w:lineRule="exact"/>
        <w:ind w:left="0" w:right="0" w:firstLine="640"/>
        <w:textAlignment w:val="auto"/>
        <w:rPr>
          <w:rFonts w:hint="eastAsia" w:ascii="仿宋_GB2312" w:hAnsi="宋体" w:eastAsia="仿宋_GB2312" w:cs="仿宋_GB2312"/>
          <w:color w:val="000000"/>
          <w:w w:val="97"/>
          <w:kern w:val="0"/>
          <w:sz w:val="32"/>
          <w:szCs w:val="32"/>
          <w:lang w:val="en-US" w:eastAsia="zh-CN" w:bidi="ar"/>
        </w:rPr>
      </w:pPr>
      <w:r>
        <w:rPr>
          <w:rFonts w:hint="eastAsia" w:ascii="仿宋_GB2312" w:hAnsi="宋体" w:eastAsia="仿宋_GB2312" w:cs="仿宋_GB2312"/>
          <w:color w:val="000000"/>
          <w:w w:val="97"/>
          <w:kern w:val="0"/>
          <w:sz w:val="32"/>
          <w:szCs w:val="32"/>
          <w:lang w:val="en-US" w:eastAsia="zh-CN" w:bidi="ar"/>
        </w:rPr>
        <w:t>4、安全风险分级管控和事故隐患排查治理机制建立落实情况</w:t>
      </w:r>
    </w:p>
    <w:p w14:paraId="17FFED21">
      <w:pPr>
        <w:pStyle w:val="2"/>
        <w:keepNext w:val="0"/>
        <w:keepLines w:val="0"/>
        <w:pageBreakBefore w:val="0"/>
        <w:widowControl w:val="0"/>
        <w:kinsoku/>
        <w:wordWrap/>
        <w:overflowPunct/>
        <w:topLinePunct w:val="0"/>
        <w:bidi w:val="0"/>
        <w:spacing w:after="0" w:line="600" w:lineRule="exact"/>
        <w:ind w:left="0" w:leftChars="0" w:right="0" w:firstLine="640" w:firstLineChars="200"/>
        <w:textAlignment w:val="auto"/>
        <w:rPr>
          <w:rFonts w:hint="default"/>
          <w:lang w:val="en-US" w:eastAsia="zh-CN"/>
        </w:rPr>
      </w:pPr>
      <w:r>
        <w:rPr>
          <w:rFonts w:hint="eastAsia" w:ascii="仿宋_GB2312" w:hAnsi="宋体" w:eastAsia="仿宋_GB2312" w:cs="仿宋_GB2312"/>
          <w:color w:val="000000"/>
          <w:kern w:val="0"/>
          <w:sz w:val="32"/>
          <w:szCs w:val="32"/>
          <w:lang w:val="en-US" w:eastAsia="zh-CN" w:bidi="ar"/>
        </w:rPr>
        <w:t>5、生产安全事故应急救援预案制定实施情况</w:t>
      </w:r>
    </w:p>
    <w:p w14:paraId="1A77BD25">
      <w:pPr>
        <w:keepNext w:val="0"/>
        <w:keepLines w:val="0"/>
        <w:pageBreakBefore w:val="0"/>
        <w:widowControl w:val="0"/>
        <w:kinsoku/>
        <w:wordWrap/>
        <w:overflowPunct/>
        <w:topLinePunct w:val="0"/>
        <w:bidi w:val="0"/>
        <w:spacing w:line="600" w:lineRule="exact"/>
        <w:ind w:left="0" w:right="0" w:firstLine="640"/>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6、安全生产投入实施情况</w:t>
      </w:r>
    </w:p>
    <w:p w14:paraId="49513EE4">
      <w:pPr>
        <w:pStyle w:val="2"/>
        <w:keepNext w:val="0"/>
        <w:keepLines w:val="0"/>
        <w:pageBreakBefore w:val="0"/>
        <w:widowControl w:val="0"/>
        <w:kinsoku/>
        <w:wordWrap/>
        <w:overflowPunct/>
        <w:topLinePunct w:val="0"/>
        <w:bidi w:val="0"/>
        <w:spacing w:after="0" w:line="600" w:lineRule="exact"/>
        <w:ind w:left="0" w:right="0"/>
        <w:textAlignment w:val="auto"/>
        <w:rPr>
          <w:rFonts w:hint="default"/>
          <w:lang w:val="en-US" w:eastAsia="zh-CN"/>
        </w:rPr>
      </w:pPr>
      <w:r>
        <w:rPr>
          <w:rFonts w:hint="eastAsia" w:ascii="仿宋_GB2312" w:hAnsi="宋体" w:eastAsia="仿宋_GB2312" w:cs="仿宋_GB2312"/>
          <w:color w:val="000000"/>
          <w:kern w:val="0"/>
          <w:sz w:val="32"/>
          <w:szCs w:val="32"/>
          <w:lang w:val="en-US" w:eastAsia="zh-CN" w:bidi="ar"/>
        </w:rPr>
        <w:t>7、新、改、扩建设项目安全设施三同时管理情况</w:t>
      </w:r>
    </w:p>
    <w:p w14:paraId="6627C614">
      <w:pPr>
        <w:pStyle w:val="12"/>
        <w:keepNext w:val="0"/>
        <w:keepLines w:val="0"/>
        <w:pageBreakBefore w:val="0"/>
        <w:widowControl w:val="0"/>
        <w:kinsoku/>
        <w:wordWrap/>
        <w:overflowPunct/>
        <w:topLinePunct w:val="0"/>
        <w:bidi w:val="0"/>
        <w:spacing w:line="600" w:lineRule="exact"/>
        <w:ind w:left="0" w:right="0"/>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 xml:space="preserve">    </w:t>
      </w:r>
      <w:r>
        <w:rPr>
          <w:rFonts w:hint="eastAsia" w:ascii="楷体_GB2312" w:hAnsi="楷体_GB2312" w:eastAsia="楷体_GB2312" w:cs="楷体_GB2312"/>
          <w:b/>
          <w:bCs/>
          <w:color w:val="auto"/>
          <w:kern w:val="0"/>
          <w:sz w:val="32"/>
          <w:szCs w:val="32"/>
          <w:lang w:val="en-US" w:eastAsia="zh-CN" w:bidi="zh-CN"/>
        </w:rPr>
        <w:t>（二）现场管理</w:t>
      </w:r>
    </w:p>
    <w:p w14:paraId="57033D08">
      <w:pPr>
        <w:keepNext w:val="0"/>
        <w:keepLines w:val="0"/>
        <w:pageBreakBefore w:val="0"/>
        <w:widowControl w:val="0"/>
        <w:kinsoku/>
        <w:wordWrap/>
        <w:overflowPunct/>
        <w:topLinePunct w:val="0"/>
        <w:bidi w:val="0"/>
        <w:spacing w:line="600" w:lineRule="exact"/>
        <w:ind w:left="0" w:right="0" w:firstLine="640" w:firstLineChars="200"/>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1、危险物品使用管理情况</w:t>
      </w:r>
    </w:p>
    <w:p w14:paraId="6B06ADB2">
      <w:pPr>
        <w:keepNext w:val="0"/>
        <w:keepLines w:val="0"/>
        <w:pageBreakBefore w:val="0"/>
        <w:widowControl w:val="0"/>
        <w:kinsoku/>
        <w:wordWrap/>
        <w:overflowPunct/>
        <w:topLinePunct w:val="0"/>
        <w:bidi w:val="0"/>
        <w:spacing w:line="600" w:lineRule="exact"/>
        <w:ind w:left="0" w:right="0" w:firstLine="640" w:firstLineChars="200"/>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2、有限空间管理情况</w:t>
      </w:r>
    </w:p>
    <w:p w14:paraId="38E51A6B">
      <w:pPr>
        <w:pStyle w:val="2"/>
        <w:keepNext w:val="0"/>
        <w:keepLines w:val="0"/>
        <w:pageBreakBefore w:val="0"/>
        <w:widowControl w:val="0"/>
        <w:kinsoku/>
        <w:wordWrap/>
        <w:overflowPunct/>
        <w:topLinePunct w:val="0"/>
        <w:bidi w:val="0"/>
        <w:spacing w:after="0" w:line="600" w:lineRule="exact"/>
        <w:ind w:left="0" w:leftChars="0" w:right="0" w:firstLine="640" w:firstLineChars="200"/>
        <w:textAlignment w:val="auto"/>
        <w:rPr>
          <w:rFonts w:ascii="Times New Roman" w:hAnsi="Times New Roman" w:eastAsia="仿宋_GB2312"/>
          <w:color w:val="000000"/>
          <w:sz w:val="32"/>
          <w:szCs w:val="32"/>
        </w:rPr>
      </w:pPr>
      <w:r>
        <w:rPr>
          <w:rFonts w:hint="eastAsia" w:ascii="仿宋_GB2312" w:eastAsia="仿宋_GB2312" w:cs="仿宋_GB2312"/>
          <w:color w:val="000000"/>
          <w:kern w:val="0"/>
          <w:sz w:val="32"/>
          <w:szCs w:val="32"/>
          <w:lang w:val="en-US" w:eastAsia="zh-CN" w:bidi="ar"/>
        </w:rPr>
        <w:t>3、高处作业、涉危涉爆场所动火作业、有限空间作业等</w:t>
      </w:r>
      <w:r>
        <w:rPr>
          <w:rFonts w:ascii="Times New Roman" w:hAnsi="Times New Roman" w:eastAsia="仿宋_GB2312"/>
          <w:color w:val="000000"/>
          <w:sz w:val="32"/>
          <w:szCs w:val="32"/>
        </w:rPr>
        <w:t>危险作业管理情况</w:t>
      </w:r>
    </w:p>
    <w:p w14:paraId="1C36253C">
      <w:pPr>
        <w:pStyle w:val="2"/>
        <w:keepNext w:val="0"/>
        <w:keepLines w:val="0"/>
        <w:pageBreakBefore w:val="0"/>
        <w:widowControl w:val="0"/>
        <w:kinsoku/>
        <w:wordWrap/>
        <w:overflowPunct/>
        <w:topLinePunct w:val="0"/>
        <w:bidi w:val="0"/>
        <w:spacing w:after="0" w:line="600" w:lineRule="exact"/>
        <w:ind w:left="0" w:leftChars="0" w:right="0" w:firstLine="640" w:firstLineChars="200"/>
        <w:textAlignment w:val="auto"/>
        <w:rPr>
          <w:rFonts w:hint="eastAsia" w:ascii="Times New Roman" w:hAnsi="Times New Roman" w:eastAsia="仿宋_GB2312"/>
          <w:color w:val="000000"/>
          <w:sz w:val="32"/>
          <w:szCs w:val="32"/>
          <w:lang w:val="en-US" w:eastAsia="zh-CN"/>
        </w:rPr>
      </w:pPr>
      <w:r>
        <w:rPr>
          <w:rFonts w:hint="eastAsia" w:ascii="Times New Roman" w:hAnsi="Times New Roman" w:eastAsia="仿宋_GB2312"/>
          <w:color w:val="000000"/>
          <w:sz w:val="32"/>
          <w:szCs w:val="32"/>
          <w:lang w:val="en-US" w:eastAsia="zh-CN"/>
        </w:rPr>
        <w:t>4、粉尘防爆情况</w:t>
      </w:r>
    </w:p>
    <w:p w14:paraId="6271AB52">
      <w:pPr>
        <w:pStyle w:val="2"/>
        <w:keepNext w:val="0"/>
        <w:keepLines w:val="0"/>
        <w:pageBreakBefore w:val="0"/>
        <w:widowControl w:val="0"/>
        <w:kinsoku/>
        <w:wordWrap/>
        <w:overflowPunct/>
        <w:topLinePunct w:val="0"/>
        <w:bidi w:val="0"/>
        <w:spacing w:after="0" w:line="600" w:lineRule="exact"/>
        <w:ind w:left="0" w:leftChars="0" w:right="0" w:firstLine="640" w:firstLineChars="200"/>
        <w:textAlignment w:val="auto"/>
        <w:rPr>
          <w:rFonts w:hint="eastAsia" w:ascii="Times New Roman" w:hAnsi="Times New Roman" w:eastAsia="仿宋_GB2312"/>
          <w:color w:val="000000"/>
          <w:sz w:val="32"/>
          <w:szCs w:val="32"/>
          <w:lang w:val="en-US" w:eastAsia="zh-CN"/>
        </w:rPr>
      </w:pPr>
      <w:r>
        <w:rPr>
          <w:rFonts w:hint="eastAsia" w:ascii="Times New Roman" w:hAnsi="Times New Roman" w:eastAsia="仿宋_GB2312"/>
          <w:color w:val="000000"/>
          <w:sz w:val="32"/>
          <w:szCs w:val="32"/>
          <w:lang w:val="en-US" w:eastAsia="zh-CN"/>
        </w:rPr>
        <w:t>5、安全设施设备管理情况</w:t>
      </w:r>
    </w:p>
    <w:p w14:paraId="39640800">
      <w:pPr>
        <w:pStyle w:val="2"/>
        <w:keepNext w:val="0"/>
        <w:keepLines w:val="0"/>
        <w:pageBreakBefore w:val="0"/>
        <w:widowControl w:val="0"/>
        <w:kinsoku/>
        <w:wordWrap/>
        <w:overflowPunct/>
        <w:topLinePunct w:val="0"/>
        <w:bidi w:val="0"/>
        <w:spacing w:after="0" w:line="600" w:lineRule="exact"/>
        <w:ind w:left="0" w:leftChars="0" w:right="0" w:firstLine="640" w:firstLineChars="200"/>
        <w:textAlignment w:val="auto"/>
        <w:rPr>
          <w:rFonts w:hint="eastAsia" w:ascii="Times New Roman" w:hAnsi="Times New Roman" w:eastAsia="仿宋_GB2312"/>
          <w:color w:val="000000"/>
          <w:sz w:val="32"/>
          <w:szCs w:val="32"/>
          <w:lang w:val="en-US" w:eastAsia="zh-CN"/>
        </w:rPr>
      </w:pPr>
      <w:r>
        <w:rPr>
          <w:rFonts w:hint="eastAsia" w:ascii="Times New Roman" w:hAnsi="Times New Roman" w:eastAsia="仿宋_GB2312"/>
          <w:color w:val="000000"/>
          <w:sz w:val="32"/>
          <w:szCs w:val="32"/>
          <w:lang w:val="en-US" w:eastAsia="zh-CN"/>
        </w:rPr>
        <w:t>6、特种作业持证上岗作业情况</w:t>
      </w:r>
    </w:p>
    <w:p w14:paraId="5F8B7CAB">
      <w:pPr>
        <w:pStyle w:val="2"/>
        <w:keepNext w:val="0"/>
        <w:keepLines w:val="0"/>
        <w:pageBreakBefore w:val="0"/>
        <w:widowControl w:val="0"/>
        <w:kinsoku/>
        <w:wordWrap/>
        <w:overflowPunct/>
        <w:topLinePunct w:val="0"/>
        <w:bidi w:val="0"/>
        <w:spacing w:after="0" w:line="600" w:lineRule="exact"/>
        <w:ind w:left="0" w:leftChars="0" w:right="0" w:firstLine="640" w:firstLineChars="200"/>
        <w:textAlignment w:val="auto"/>
        <w:rPr>
          <w:rFonts w:hint="default" w:ascii="Times New Roman" w:hAnsi="Times New Roman" w:eastAsia="仿宋_GB2312"/>
          <w:color w:val="000000"/>
          <w:sz w:val="32"/>
          <w:szCs w:val="32"/>
          <w:lang w:val="en-US" w:eastAsia="zh-CN"/>
        </w:rPr>
      </w:pPr>
    </w:p>
    <w:p w14:paraId="6560BC2E">
      <w:pPr>
        <w:pStyle w:val="2"/>
        <w:keepNext w:val="0"/>
        <w:keepLines w:val="0"/>
        <w:pageBreakBefore w:val="0"/>
        <w:widowControl w:val="0"/>
        <w:kinsoku/>
        <w:wordWrap/>
        <w:overflowPunct/>
        <w:topLinePunct w:val="0"/>
        <w:autoSpaceDE/>
        <w:autoSpaceDN/>
        <w:bidi w:val="0"/>
        <w:adjustRightInd/>
        <w:snapToGrid/>
        <w:spacing w:after="0" w:line="600" w:lineRule="exact"/>
        <w:ind w:left="0" w:leftChars="0" w:right="0" w:firstLine="616" w:firstLineChars="200"/>
        <w:textAlignment w:val="auto"/>
        <w:rPr>
          <w:rFonts w:hint="default"/>
          <w:lang w:val="en-US" w:eastAsia="zh-CN"/>
        </w:rPr>
      </w:pPr>
      <w:r>
        <w:rPr>
          <w:rFonts w:hint="eastAsia" w:ascii="仿宋_GB2312" w:hAnsi="仿宋_GB2312" w:eastAsia="仿宋_GB2312" w:cs="仿宋_GB2312"/>
          <w:spacing w:val="-6"/>
          <w:kern w:val="2"/>
          <w:sz w:val="32"/>
          <w:szCs w:val="32"/>
          <w:lang w:val="zh-CN" w:eastAsia="zh-CN" w:bidi="zh-CN"/>
        </w:rPr>
        <w:t>附件</w:t>
      </w:r>
      <w:r>
        <w:rPr>
          <w:rFonts w:hint="eastAsia" w:ascii="仿宋_GB2312" w:hAnsi="仿宋_GB2312" w:eastAsia="仿宋_GB2312" w:cs="仿宋_GB2312"/>
          <w:spacing w:val="-6"/>
          <w:kern w:val="2"/>
          <w:sz w:val="32"/>
          <w:szCs w:val="32"/>
          <w:lang w:val="en-US" w:eastAsia="zh-CN" w:bidi="zh-CN"/>
        </w:rPr>
        <w:t>2-1</w:t>
      </w:r>
      <w:r>
        <w:rPr>
          <w:rFonts w:hint="eastAsia" w:ascii="仿宋_GB2312" w:hAnsi="仿宋_GB2312" w:eastAsia="仿宋_GB2312" w:cs="仿宋_GB2312"/>
          <w:spacing w:val="-6"/>
          <w:kern w:val="2"/>
          <w:sz w:val="32"/>
          <w:szCs w:val="32"/>
          <w:lang w:val="zh-CN" w:eastAsia="zh-CN" w:bidi="zh-CN"/>
        </w:rPr>
        <w:t>：《</w:t>
      </w:r>
      <w:r>
        <w:rPr>
          <w:rFonts w:ascii="Times New Roman" w:hAnsi="Times New Roman" w:eastAsia="仿宋_GB2312" w:cs="Times New Roman"/>
          <w:sz w:val="32"/>
          <w:szCs w:val="32"/>
          <w:lang w:val="en"/>
        </w:rPr>
        <w:t>202</w:t>
      </w:r>
      <w:r>
        <w:rPr>
          <w:rFonts w:hint="eastAsia" w:ascii="Times New Roman" w:hAnsi="Times New Roman" w:eastAsia="仿宋_GB2312" w:cs="Times New Roman"/>
          <w:sz w:val="32"/>
          <w:szCs w:val="32"/>
          <w:lang w:val="en-US" w:eastAsia="zh-CN"/>
        </w:rPr>
        <w:t>5</w:t>
      </w:r>
      <w:r>
        <w:rPr>
          <w:rFonts w:ascii="Times New Roman" w:hAnsi="Times New Roman" w:eastAsia="仿宋_GB2312" w:cs="Times New Roman"/>
          <w:sz w:val="32"/>
          <w:szCs w:val="32"/>
          <w:lang w:val="en"/>
        </w:rPr>
        <w:t>年度</w:t>
      </w:r>
      <w:r>
        <w:rPr>
          <w:rFonts w:eastAsia="仿宋_GB2312"/>
          <w:sz w:val="32"/>
          <w:szCs w:val="32"/>
          <w:lang w:val="en"/>
        </w:rPr>
        <w:t>工贸</w:t>
      </w:r>
      <w:r>
        <w:rPr>
          <w:rFonts w:hint="eastAsia" w:eastAsia="仿宋_GB2312"/>
          <w:sz w:val="32"/>
          <w:szCs w:val="32"/>
          <w:lang w:val="en"/>
        </w:rPr>
        <w:t>行业</w:t>
      </w:r>
      <w:r>
        <w:rPr>
          <w:rFonts w:hint="eastAsia" w:ascii="仿宋_GB2312" w:hAnsi="仿宋_GB2312" w:eastAsia="仿宋_GB2312" w:cs="仿宋_GB2312"/>
          <w:spacing w:val="-6"/>
          <w:kern w:val="2"/>
          <w:sz w:val="32"/>
          <w:szCs w:val="32"/>
          <w:lang w:val="zh-CN" w:eastAsia="zh-CN" w:bidi="zh-CN"/>
        </w:rPr>
        <w:t>监督检查计划安排表</w:t>
      </w:r>
      <w:r>
        <w:rPr>
          <w:rFonts w:hint="eastAsia" w:ascii="仿宋_GB2312" w:hAnsi="仿宋_GB2312" w:eastAsia="仿宋_GB2312" w:cs="仿宋_GB2312"/>
          <w:spacing w:val="-6"/>
          <w:kern w:val="2"/>
          <w:sz w:val="32"/>
          <w:szCs w:val="32"/>
          <w:lang w:val="en-US" w:eastAsia="zh-CN" w:bidi="zh-CN"/>
        </w:rPr>
        <w:t>》</w:t>
      </w:r>
    </w:p>
    <w:p w14:paraId="6A2898B0">
      <w:pPr>
        <w:keepNext w:val="0"/>
        <w:keepLines w:val="0"/>
        <w:pageBreakBefore w:val="0"/>
        <w:kinsoku/>
        <w:wordWrap/>
        <w:overflowPunct/>
        <w:topLinePunct w:val="0"/>
        <w:autoSpaceDE/>
        <w:autoSpaceDN/>
        <w:bidi w:val="0"/>
        <w:spacing w:line="600" w:lineRule="exact"/>
        <w:ind w:firstLine="616" w:firstLineChars="200"/>
        <w:textAlignment w:val="auto"/>
        <w:rPr>
          <w:rFonts w:hint="eastAsia" w:ascii="仿宋_GB2312" w:hAnsi="仿宋_GB2312" w:eastAsia="仿宋_GB2312" w:cs="仿宋_GB2312"/>
          <w:spacing w:val="-6"/>
          <w:kern w:val="2"/>
          <w:sz w:val="32"/>
          <w:szCs w:val="32"/>
          <w:lang w:val="zh-CN" w:eastAsia="zh-CN" w:bidi="zh-CN"/>
        </w:rPr>
      </w:pPr>
    </w:p>
    <w:p w14:paraId="3F32989A">
      <w:pPr>
        <w:pStyle w:val="2"/>
        <w:ind w:left="0" w:leftChars="0" w:firstLine="0" w:firstLineChars="0"/>
        <w:rPr>
          <w:rFonts w:hint="eastAsia" w:ascii="仿宋_GB2312" w:hAnsi="仿宋_GB2312" w:eastAsia="仿宋_GB2312" w:cs="仿宋_GB2312"/>
          <w:b/>
          <w:bCs/>
          <w:spacing w:val="-6"/>
          <w:kern w:val="2"/>
          <w:sz w:val="32"/>
          <w:szCs w:val="32"/>
          <w:lang w:val="en-US" w:eastAsia="zh-CN" w:bidi="zh-CN"/>
        </w:rPr>
      </w:pPr>
      <w:r>
        <w:rPr>
          <w:rFonts w:hint="eastAsia" w:ascii="仿宋_GB2312" w:hAnsi="仿宋_GB2312" w:eastAsia="仿宋_GB2312" w:cs="仿宋_GB2312"/>
          <w:spacing w:val="-6"/>
          <w:kern w:val="2"/>
          <w:sz w:val="32"/>
          <w:szCs w:val="32"/>
          <w:lang w:val="en-US" w:eastAsia="zh-CN" w:bidi="zh-CN"/>
        </w:rPr>
        <w:br w:type="page"/>
      </w:r>
      <w:r>
        <w:rPr>
          <w:rFonts w:hint="eastAsia" w:ascii="仿宋_GB2312" w:hAnsi="仿宋_GB2312" w:eastAsia="仿宋_GB2312" w:cs="仿宋_GB2312"/>
          <w:b/>
          <w:bCs/>
          <w:spacing w:val="-6"/>
          <w:kern w:val="2"/>
          <w:sz w:val="32"/>
          <w:szCs w:val="32"/>
          <w:lang w:val="zh-CN" w:eastAsia="zh-CN" w:bidi="zh-CN"/>
        </w:rPr>
        <w:t>附件</w:t>
      </w:r>
      <w:r>
        <w:rPr>
          <w:rFonts w:hint="eastAsia" w:ascii="仿宋_GB2312" w:hAnsi="仿宋_GB2312" w:eastAsia="仿宋_GB2312" w:cs="仿宋_GB2312"/>
          <w:b/>
          <w:bCs/>
          <w:spacing w:val="-6"/>
          <w:kern w:val="2"/>
          <w:sz w:val="32"/>
          <w:szCs w:val="32"/>
          <w:lang w:val="en-US" w:eastAsia="zh-CN" w:bidi="zh-CN"/>
        </w:rPr>
        <w:t>2-1</w:t>
      </w:r>
      <w:r>
        <w:rPr>
          <w:rFonts w:hint="eastAsia" w:ascii="仿宋_GB2312" w:hAnsi="仿宋_GB2312" w:eastAsia="仿宋_GB2312" w:cs="仿宋_GB2312"/>
          <w:b/>
          <w:bCs/>
          <w:spacing w:val="-6"/>
          <w:kern w:val="2"/>
          <w:sz w:val="32"/>
          <w:szCs w:val="32"/>
          <w:lang w:val="zh-CN" w:eastAsia="zh-CN" w:bidi="zh-CN"/>
        </w:rPr>
        <w:t>：</w:t>
      </w:r>
    </w:p>
    <w:p w14:paraId="17A9E117">
      <w:pPr>
        <w:pStyle w:val="2"/>
        <w:ind w:left="0" w:leftChars="0" w:firstLine="0" w:firstLineChars="0"/>
        <w:jc w:val="center"/>
        <w:rPr>
          <w:rFonts w:hint="default" w:ascii="方正小标宋简体" w:hAnsi="方正小标宋简体" w:eastAsia="方正小标宋简体" w:cs="方正小标宋简体"/>
          <w:color w:val="000000"/>
          <w:spacing w:val="-20"/>
          <w:kern w:val="0"/>
          <w:sz w:val="44"/>
          <w:szCs w:val="44"/>
          <w:lang w:val="en-US" w:eastAsia="zh-CN" w:bidi="ar-SA"/>
        </w:rPr>
      </w:pPr>
      <w:r>
        <w:rPr>
          <w:rFonts w:hint="eastAsia" w:ascii="方正小标宋简体" w:hAnsi="方正小标宋简体" w:eastAsia="方正小标宋简体" w:cs="方正小标宋简体"/>
          <w:color w:val="000000"/>
          <w:spacing w:val="-20"/>
          <w:kern w:val="0"/>
          <w:sz w:val="44"/>
          <w:szCs w:val="44"/>
          <w:lang w:val="en" w:eastAsia="zh-CN" w:bidi="ar-SA"/>
        </w:rPr>
        <w:t>202</w:t>
      </w:r>
      <w:r>
        <w:rPr>
          <w:rFonts w:hint="eastAsia" w:ascii="方正小标宋简体" w:hAnsi="方正小标宋简体" w:eastAsia="方正小标宋简体" w:cs="方正小标宋简体"/>
          <w:color w:val="000000"/>
          <w:spacing w:val="-20"/>
          <w:kern w:val="0"/>
          <w:sz w:val="44"/>
          <w:szCs w:val="44"/>
          <w:lang w:val="en-US" w:eastAsia="zh-CN" w:bidi="ar-SA"/>
        </w:rPr>
        <w:t>5</w:t>
      </w:r>
      <w:r>
        <w:rPr>
          <w:rFonts w:hint="eastAsia" w:ascii="方正小标宋简体" w:hAnsi="方正小标宋简体" w:eastAsia="方正小标宋简体" w:cs="方正小标宋简体"/>
          <w:color w:val="000000"/>
          <w:spacing w:val="-20"/>
          <w:kern w:val="0"/>
          <w:sz w:val="44"/>
          <w:szCs w:val="44"/>
          <w:lang w:val="en" w:eastAsia="zh-CN" w:bidi="ar-SA"/>
        </w:rPr>
        <w:t>年度工贸行业</w:t>
      </w:r>
      <w:r>
        <w:rPr>
          <w:rFonts w:hint="eastAsia" w:ascii="方正小标宋简体" w:hAnsi="方正小标宋简体" w:eastAsia="方正小标宋简体" w:cs="方正小标宋简体"/>
          <w:color w:val="000000"/>
          <w:spacing w:val="-20"/>
          <w:kern w:val="0"/>
          <w:sz w:val="44"/>
          <w:szCs w:val="44"/>
          <w:lang w:val="zh-CN" w:eastAsia="zh-CN" w:bidi="ar-SA"/>
        </w:rPr>
        <w:t>监督检查计划安排表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6"/>
        <w:gridCol w:w="1550"/>
        <w:gridCol w:w="4584"/>
        <w:gridCol w:w="1002"/>
      </w:tblGrid>
      <w:tr w14:paraId="2F230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6" w:type="dxa"/>
            <w:noWrap w:val="0"/>
            <w:vAlign w:val="top"/>
          </w:tcPr>
          <w:p w14:paraId="0F300C40">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color w:val="000000"/>
                <w:sz w:val="24"/>
                <w:szCs w:val="24"/>
              </w:rPr>
              <w:t>检查时间</w:t>
            </w:r>
          </w:p>
        </w:tc>
        <w:tc>
          <w:tcPr>
            <w:tcW w:w="1550" w:type="dxa"/>
            <w:noWrap w:val="0"/>
            <w:vAlign w:val="top"/>
          </w:tcPr>
          <w:p w14:paraId="617BBC04">
            <w:pPr>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区</w:t>
            </w:r>
            <w:r>
              <w:rPr>
                <w:rFonts w:hint="eastAsia" w:ascii="仿宋_GB2312" w:hAnsi="仿宋_GB2312" w:eastAsia="仿宋_GB2312" w:cs="仿宋_GB2312"/>
                <w:sz w:val="24"/>
                <w:szCs w:val="24"/>
                <w:vertAlign w:val="baseline"/>
                <w:lang w:val="en-US" w:eastAsia="zh-CN"/>
              </w:rPr>
              <w:t xml:space="preserve">  </w:t>
            </w:r>
            <w:r>
              <w:rPr>
                <w:rFonts w:hint="eastAsia" w:ascii="仿宋_GB2312" w:hAnsi="仿宋_GB2312" w:eastAsia="仿宋_GB2312" w:cs="仿宋_GB2312"/>
                <w:sz w:val="24"/>
                <w:szCs w:val="24"/>
                <w:vertAlign w:val="baseline"/>
                <w:lang w:eastAsia="zh-CN"/>
              </w:rPr>
              <w:t>域</w:t>
            </w:r>
          </w:p>
        </w:tc>
        <w:tc>
          <w:tcPr>
            <w:tcW w:w="4584" w:type="dxa"/>
            <w:noWrap w:val="0"/>
            <w:vAlign w:val="top"/>
          </w:tcPr>
          <w:p w14:paraId="3A248DAA">
            <w:pPr>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color w:val="000000"/>
                <w:sz w:val="24"/>
                <w:szCs w:val="24"/>
                <w:lang w:eastAsia="zh-CN"/>
              </w:rPr>
              <w:t>计划</w:t>
            </w:r>
            <w:r>
              <w:rPr>
                <w:rFonts w:hint="eastAsia" w:ascii="仿宋_GB2312" w:hAnsi="仿宋_GB2312" w:eastAsia="仿宋_GB2312" w:cs="仿宋_GB2312"/>
                <w:color w:val="000000"/>
                <w:sz w:val="24"/>
                <w:szCs w:val="24"/>
              </w:rPr>
              <w:t>检查</w:t>
            </w:r>
            <w:r>
              <w:rPr>
                <w:rFonts w:hint="eastAsia" w:ascii="仿宋_GB2312" w:hAnsi="仿宋_GB2312" w:eastAsia="仿宋_GB2312" w:cs="仿宋_GB2312"/>
                <w:color w:val="000000"/>
                <w:sz w:val="24"/>
                <w:szCs w:val="24"/>
                <w:lang w:eastAsia="zh-CN"/>
              </w:rPr>
              <w:t>企业</w:t>
            </w:r>
          </w:p>
        </w:tc>
        <w:tc>
          <w:tcPr>
            <w:tcW w:w="1002" w:type="dxa"/>
            <w:noWrap w:val="0"/>
            <w:vAlign w:val="top"/>
          </w:tcPr>
          <w:p w14:paraId="23B2CD70">
            <w:pPr>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备</w:t>
            </w:r>
            <w:r>
              <w:rPr>
                <w:rFonts w:hint="eastAsia" w:ascii="仿宋_GB2312" w:hAnsi="仿宋_GB2312" w:eastAsia="仿宋_GB2312" w:cs="仿宋_GB2312"/>
                <w:sz w:val="24"/>
                <w:szCs w:val="24"/>
                <w:vertAlign w:val="baseline"/>
                <w:lang w:val="en-US" w:eastAsia="zh-CN"/>
              </w:rPr>
              <w:t xml:space="preserve"> </w:t>
            </w:r>
            <w:r>
              <w:rPr>
                <w:rFonts w:hint="eastAsia" w:ascii="仿宋_GB2312" w:hAnsi="仿宋_GB2312" w:eastAsia="仿宋_GB2312" w:cs="仿宋_GB2312"/>
                <w:sz w:val="24"/>
                <w:szCs w:val="24"/>
                <w:vertAlign w:val="baseline"/>
                <w:lang w:eastAsia="zh-CN"/>
              </w:rPr>
              <w:t>注</w:t>
            </w:r>
          </w:p>
        </w:tc>
      </w:tr>
      <w:tr w14:paraId="73D66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6" w:type="dxa"/>
            <w:vMerge w:val="restart"/>
            <w:noWrap w:val="0"/>
            <w:vAlign w:val="center"/>
          </w:tcPr>
          <w:p w14:paraId="57A72E89">
            <w:pPr>
              <w:jc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一月</w:t>
            </w:r>
          </w:p>
        </w:tc>
        <w:tc>
          <w:tcPr>
            <w:tcW w:w="1550" w:type="dxa"/>
            <w:noWrap w:val="0"/>
            <w:vAlign w:val="center"/>
          </w:tcPr>
          <w:p w14:paraId="689B992A">
            <w:pPr>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园区内</w:t>
            </w:r>
          </w:p>
        </w:tc>
        <w:tc>
          <w:tcPr>
            <w:tcW w:w="4584" w:type="dxa"/>
            <w:noWrap w:val="0"/>
            <w:vAlign w:val="top"/>
          </w:tcPr>
          <w:p w14:paraId="05F5116B">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1.益海嘉里金龙鱼粮油食品股份有限公司</w:t>
            </w:r>
          </w:p>
          <w:p w14:paraId="707156D1">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2.长沙博翔纺织有限责任公司</w:t>
            </w:r>
          </w:p>
          <w:p w14:paraId="1430DA4B">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3.昕嘉生物技术（长沙）有限公司</w:t>
            </w:r>
          </w:p>
          <w:p w14:paraId="124CED1B">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4.长沙派力司家居有限公司</w:t>
            </w:r>
          </w:p>
          <w:p w14:paraId="0046733D">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5.长沙戴卡科技有限公司</w:t>
            </w:r>
          </w:p>
          <w:p w14:paraId="4D1DCEAF">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6.长沙戴湘汽配科技有限公司</w:t>
            </w:r>
          </w:p>
        </w:tc>
        <w:tc>
          <w:tcPr>
            <w:tcW w:w="1002" w:type="dxa"/>
            <w:noWrap w:val="0"/>
            <w:vAlign w:val="top"/>
          </w:tcPr>
          <w:p w14:paraId="20915280">
            <w:pPr>
              <w:jc w:val="center"/>
              <w:rPr>
                <w:rFonts w:hint="eastAsia" w:ascii="仿宋_GB2312" w:hAnsi="仿宋_GB2312" w:eastAsia="仿宋_GB2312" w:cs="仿宋_GB2312"/>
                <w:sz w:val="24"/>
                <w:szCs w:val="24"/>
                <w:vertAlign w:val="baseline"/>
              </w:rPr>
            </w:pPr>
          </w:p>
        </w:tc>
      </w:tr>
      <w:tr w14:paraId="08FF0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6" w:type="dxa"/>
            <w:vMerge w:val="continue"/>
            <w:noWrap w:val="0"/>
            <w:vAlign w:val="center"/>
          </w:tcPr>
          <w:p w14:paraId="2D9C477D">
            <w:pPr>
              <w:jc w:val="center"/>
              <w:rPr>
                <w:rFonts w:hint="eastAsia" w:ascii="仿宋_GB2312" w:hAnsi="仿宋_GB2312" w:eastAsia="仿宋_GB2312" w:cs="仿宋_GB2312"/>
                <w:color w:val="000000"/>
                <w:sz w:val="24"/>
                <w:szCs w:val="24"/>
                <w:lang w:eastAsia="zh-CN"/>
              </w:rPr>
            </w:pPr>
          </w:p>
        </w:tc>
        <w:tc>
          <w:tcPr>
            <w:tcW w:w="1550" w:type="dxa"/>
            <w:noWrap w:val="0"/>
            <w:vAlign w:val="center"/>
          </w:tcPr>
          <w:p w14:paraId="7A3828CF">
            <w:pPr>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园区外</w:t>
            </w:r>
          </w:p>
        </w:tc>
        <w:tc>
          <w:tcPr>
            <w:tcW w:w="4584" w:type="dxa"/>
            <w:noWrap w:val="0"/>
            <w:vAlign w:val="top"/>
          </w:tcPr>
          <w:p w14:paraId="272E4C45">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i w:val="0"/>
                <w:color w:val="000000"/>
                <w:spacing w:val="0"/>
                <w:sz w:val="24"/>
                <w:szCs w:val="24"/>
                <w:u w:val="none"/>
                <w:lang w:val="en-US" w:eastAsia="zh-CN"/>
              </w:rPr>
            </w:pPr>
            <w:r>
              <w:rPr>
                <w:rFonts w:hint="eastAsia" w:ascii="仿宋_GB2312" w:hAnsi="仿宋_GB2312" w:eastAsia="仿宋_GB2312" w:cs="仿宋_GB2312"/>
                <w:i w:val="0"/>
                <w:color w:val="000000"/>
                <w:spacing w:val="0"/>
                <w:sz w:val="24"/>
                <w:szCs w:val="24"/>
                <w:u w:val="none"/>
                <w:lang w:val="en-US" w:eastAsia="zh-CN"/>
              </w:rPr>
              <w:t>1.</w:t>
            </w:r>
            <w:r>
              <w:rPr>
                <w:rFonts w:hint="eastAsia" w:ascii="仿宋_GB2312" w:hAnsi="仿宋_GB2312" w:eastAsia="仿宋_GB2312" w:cs="仿宋_GB2312"/>
                <w:color w:val="000000"/>
                <w:sz w:val="24"/>
                <w:szCs w:val="24"/>
                <w:lang w:val="en-US" w:eastAsia="zh-CN"/>
              </w:rPr>
              <w:t>湖南质诚生物科技有限公司</w:t>
            </w:r>
          </w:p>
          <w:p w14:paraId="23450EFD">
            <w:pPr>
              <w:pStyle w:val="2"/>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textAlignment w:val="auto"/>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w:t>
            </w:r>
            <w:r>
              <w:rPr>
                <w:rFonts w:hint="eastAsia" w:ascii="仿宋_GB2312" w:hAnsi="仿宋_GB2312" w:eastAsia="仿宋_GB2312" w:cs="仿宋_GB2312"/>
                <w:i w:val="0"/>
                <w:color w:val="000000"/>
                <w:kern w:val="0"/>
                <w:sz w:val="24"/>
                <w:szCs w:val="24"/>
                <w:u w:val="none"/>
                <w:lang w:val="en-US" w:eastAsia="zh-CN" w:bidi="ar"/>
              </w:rPr>
              <w:t>长沙艾科瑞齿轮机械限责任公司</w:t>
            </w:r>
          </w:p>
        </w:tc>
        <w:tc>
          <w:tcPr>
            <w:tcW w:w="1002" w:type="dxa"/>
            <w:noWrap w:val="0"/>
            <w:vAlign w:val="top"/>
          </w:tcPr>
          <w:p w14:paraId="04A27F06">
            <w:pPr>
              <w:jc w:val="center"/>
              <w:rPr>
                <w:rFonts w:hint="eastAsia" w:ascii="仿宋_GB2312" w:hAnsi="仿宋_GB2312" w:eastAsia="仿宋_GB2312" w:cs="仿宋_GB2312"/>
                <w:sz w:val="24"/>
                <w:szCs w:val="24"/>
                <w:vertAlign w:val="baseline"/>
              </w:rPr>
            </w:pPr>
          </w:p>
        </w:tc>
      </w:tr>
      <w:tr w14:paraId="1FD29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6" w:type="dxa"/>
            <w:vMerge w:val="restart"/>
            <w:noWrap w:val="0"/>
            <w:vAlign w:val="center"/>
          </w:tcPr>
          <w:p w14:paraId="0F83B863">
            <w:pPr>
              <w:jc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二月</w:t>
            </w:r>
          </w:p>
        </w:tc>
        <w:tc>
          <w:tcPr>
            <w:tcW w:w="1550" w:type="dxa"/>
            <w:noWrap w:val="0"/>
            <w:vAlign w:val="center"/>
          </w:tcPr>
          <w:p w14:paraId="5DF03FE2">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eastAsia="zh-CN"/>
              </w:rPr>
              <w:t>园区内</w:t>
            </w:r>
          </w:p>
        </w:tc>
        <w:tc>
          <w:tcPr>
            <w:tcW w:w="4584" w:type="dxa"/>
            <w:noWrap w:val="0"/>
            <w:vAlign w:val="top"/>
          </w:tcPr>
          <w:p w14:paraId="518F7D42">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1.湖南大北农农业科技有限公司</w:t>
            </w:r>
          </w:p>
          <w:p w14:paraId="5BF95BBE">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2.长沙唐人神湘大骆驼饲料有限公司</w:t>
            </w:r>
          </w:p>
          <w:p w14:paraId="5E2C4516">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3.长沙安佑生物科技有限公司</w:t>
            </w:r>
          </w:p>
          <w:p w14:paraId="4030E64B">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4.湖南金昊圆生物科技有限公司</w:t>
            </w:r>
          </w:p>
          <w:p w14:paraId="350DCEA2">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5.达能特殊营养品（长沙）有限公司</w:t>
            </w:r>
          </w:p>
        </w:tc>
        <w:tc>
          <w:tcPr>
            <w:tcW w:w="1002" w:type="dxa"/>
            <w:noWrap w:val="0"/>
            <w:vAlign w:val="top"/>
          </w:tcPr>
          <w:p w14:paraId="7E3049DF">
            <w:pPr>
              <w:jc w:val="center"/>
              <w:rPr>
                <w:rFonts w:hint="eastAsia" w:ascii="仿宋_GB2312" w:hAnsi="仿宋_GB2312" w:eastAsia="仿宋_GB2312" w:cs="仿宋_GB2312"/>
                <w:sz w:val="24"/>
                <w:szCs w:val="24"/>
                <w:vertAlign w:val="baseline"/>
              </w:rPr>
            </w:pPr>
          </w:p>
        </w:tc>
      </w:tr>
      <w:tr w14:paraId="35BFD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6" w:type="dxa"/>
            <w:vMerge w:val="continue"/>
            <w:noWrap w:val="0"/>
            <w:vAlign w:val="center"/>
          </w:tcPr>
          <w:p w14:paraId="488F3F23">
            <w:pPr>
              <w:jc w:val="center"/>
              <w:rPr>
                <w:rFonts w:hint="eastAsia" w:ascii="仿宋_GB2312" w:hAnsi="仿宋_GB2312" w:eastAsia="仿宋_GB2312" w:cs="仿宋_GB2312"/>
                <w:color w:val="000000"/>
                <w:sz w:val="24"/>
                <w:szCs w:val="24"/>
                <w:lang w:eastAsia="zh-CN"/>
              </w:rPr>
            </w:pPr>
          </w:p>
        </w:tc>
        <w:tc>
          <w:tcPr>
            <w:tcW w:w="1550" w:type="dxa"/>
            <w:noWrap w:val="0"/>
            <w:vAlign w:val="center"/>
          </w:tcPr>
          <w:p w14:paraId="7BFDCD53">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eastAsia="zh-CN"/>
              </w:rPr>
              <w:t>园区外</w:t>
            </w:r>
          </w:p>
        </w:tc>
        <w:tc>
          <w:tcPr>
            <w:tcW w:w="4584" w:type="dxa"/>
            <w:noWrap w:val="0"/>
            <w:vAlign w:val="top"/>
          </w:tcPr>
          <w:p w14:paraId="1D08BDB7">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w:t>
            </w:r>
            <w:r>
              <w:rPr>
                <w:rFonts w:hint="eastAsia" w:ascii="仿宋_GB2312" w:hAnsi="仿宋_GB2312" w:eastAsia="仿宋_GB2312" w:cs="仿宋_GB2312"/>
                <w:color w:val="000000"/>
                <w:kern w:val="2"/>
                <w:sz w:val="24"/>
                <w:szCs w:val="24"/>
                <w:lang w:val="en-US" w:eastAsia="zh-CN" w:bidi="ar-SA"/>
              </w:rPr>
              <w:t>长沙盛谷绿色供应链管理有限公司</w:t>
            </w:r>
          </w:p>
          <w:p w14:paraId="5A7BD13F">
            <w:pPr>
              <w:pStyle w:val="2"/>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2.</w:t>
            </w:r>
            <w:r>
              <w:rPr>
                <w:rFonts w:hint="eastAsia" w:ascii="仿宋_GB2312" w:hAnsi="仿宋_GB2312" w:eastAsia="仿宋_GB2312" w:cs="仿宋_GB2312"/>
                <w:color w:val="000000"/>
                <w:sz w:val="24"/>
                <w:szCs w:val="24"/>
              </w:rPr>
              <w:t>湖南亿捷智能科技有限公司</w:t>
            </w:r>
          </w:p>
        </w:tc>
        <w:tc>
          <w:tcPr>
            <w:tcW w:w="1002" w:type="dxa"/>
            <w:noWrap w:val="0"/>
            <w:vAlign w:val="top"/>
          </w:tcPr>
          <w:p w14:paraId="778933AA">
            <w:pPr>
              <w:jc w:val="center"/>
              <w:rPr>
                <w:rFonts w:hint="eastAsia" w:ascii="仿宋_GB2312" w:hAnsi="仿宋_GB2312" w:eastAsia="仿宋_GB2312" w:cs="仿宋_GB2312"/>
                <w:sz w:val="24"/>
                <w:szCs w:val="24"/>
                <w:vertAlign w:val="baseline"/>
              </w:rPr>
            </w:pPr>
          </w:p>
        </w:tc>
      </w:tr>
      <w:tr w14:paraId="13C45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6" w:type="dxa"/>
            <w:vMerge w:val="restart"/>
            <w:noWrap w:val="0"/>
            <w:vAlign w:val="center"/>
          </w:tcPr>
          <w:p w14:paraId="11C34CA0">
            <w:pPr>
              <w:jc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三月</w:t>
            </w:r>
          </w:p>
        </w:tc>
        <w:tc>
          <w:tcPr>
            <w:tcW w:w="1550" w:type="dxa"/>
            <w:noWrap w:val="0"/>
            <w:vAlign w:val="center"/>
          </w:tcPr>
          <w:p w14:paraId="2E6D809F">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eastAsia="zh-CN"/>
              </w:rPr>
              <w:t>园区内</w:t>
            </w:r>
          </w:p>
        </w:tc>
        <w:tc>
          <w:tcPr>
            <w:tcW w:w="4584" w:type="dxa"/>
            <w:noWrap w:val="0"/>
            <w:vAlign w:val="top"/>
          </w:tcPr>
          <w:p w14:paraId="36528A11">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1.晟通科技集团有限公司</w:t>
            </w:r>
          </w:p>
          <w:p w14:paraId="543850C9">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2.长沙衡开智能科技有限公司</w:t>
            </w:r>
          </w:p>
          <w:p w14:paraId="00C4AAAA">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3.湖南瑞华新材料有限公司</w:t>
            </w:r>
          </w:p>
          <w:p w14:paraId="3937A379">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4.长沙联力实业有限公司</w:t>
            </w:r>
          </w:p>
          <w:p w14:paraId="5CF2C814">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5.长沙鼓风机厂有限责任公司</w:t>
            </w:r>
          </w:p>
          <w:p w14:paraId="7139B7D4">
            <w:pPr>
              <w:pStyle w:val="2"/>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2"/>
                <w:sz w:val="24"/>
                <w:szCs w:val="24"/>
                <w:lang w:val="en-US" w:eastAsia="zh-CN" w:bidi="ar-SA"/>
              </w:rPr>
              <w:t>6.湖南生命元特医生物科技有限公司</w:t>
            </w:r>
          </w:p>
        </w:tc>
        <w:tc>
          <w:tcPr>
            <w:tcW w:w="1002" w:type="dxa"/>
            <w:noWrap w:val="0"/>
            <w:vAlign w:val="top"/>
          </w:tcPr>
          <w:p w14:paraId="6FC1414F">
            <w:pPr>
              <w:jc w:val="center"/>
              <w:rPr>
                <w:rFonts w:hint="eastAsia" w:ascii="仿宋_GB2312" w:hAnsi="仿宋_GB2312" w:eastAsia="仿宋_GB2312" w:cs="仿宋_GB2312"/>
                <w:sz w:val="24"/>
                <w:szCs w:val="24"/>
                <w:vertAlign w:val="baseline"/>
              </w:rPr>
            </w:pPr>
          </w:p>
        </w:tc>
      </w:tr>
      <w:tr w14:paraId="46A44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6" w:type="dxa"/>
            <w:vMerge w:val="continue"/>
            <w:noWrap w:val="0"/>
            <w:vAlign w:val="center"/>
          </w:tcPr>
          <w:p w14:paraId="7DAF6EF4">
            <w:pPr>
              <w:jc w:val="center"/>
              <w:rPr>
                <w:rFonts w:hint="eastAsia" w:ascii="仿宋_GB2312" w:hAnsi="仿宋_GB2312" w:eastAsia="仿宋_GB2312" w:cs="仿宋_GB2312"/>
                <w:color w:val="000000"/>
                <w:sz w:val="24"/>
                <w:szCs w:val="24"/>
                <w:lang w:eastAsia="zh-CN"/>
              </w:rPr>
            </w:pPr>
          </w:p>
        </w:tc>
        <w:tc>
          <w:tcPr>
            <w:tcW w:w="1550" w:type="dxa"/>
            <w:noWrap w:val="0"/>
            <w:vAlign w:val="center"/>
          </w:tcPr>
          <w:p w14:paraId="2F25791E">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eastAsia="zh-CN"/>
              </w:rPr>
              <w:t>园区外</w:t>
            </w:r>
          </w:p>
        </w:tc>
        <w:tc>
          <w:tcPr>
            <w:tcW w:w="4584" w:type="dxa"/>
            <w:noWrap w:val="0"/>
            <w:vAlign w:val="top"/>
          </w:tcPr>
          <w:p w14:paraId="7994FBD2">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1.长沙宇名汽车电器有限责任公司</w:t>
            </w:r>
          </w:p>
          <w:p w14:paraId="23BBF6A9">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2.湖南嘉宝家居有限公司</w:t>
            </w:r>
          </w:p>
        </w:tc>
        <w:tc>
          <w:tcPr>
            <w:tcW w:w="1002" w:type="dxa"/>
            <w:noWrap w:val="0"/>
            <w:vAlign w:val="top"/>
          </w:tcPr>
          <w:p w14:paraId="5F4E6888">
            <w:pPr>
              <w:jc w:val="center"/>
              <w:rPr>
                <w:rFonts w:hint="eastAsia" w:ascii="仿宋_GB2312" w:hAnsi="仿宋_GB2312" w:eastAsia="仿宋_GB2312" w:cs="仿宋_GB2312"/>
                <w:sz w:val="24"/>
                <w:szCs w:val="24"/>
                <w:vertAlign w:val="baseline"/>
              </w:rPr>
            </w:pPr>
          </w:p>
        </w:tc>
      </w:tr>
      <w:tr w14:paraId="1B867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6" w:type="dxa"/>
            <w:vMerge w:val="restart"/>
            <w:noWrap w:val="0"/>
            <w:vAlign w:val="center"/>
          </w:tcPr>
          <w:p w14:paraId="48C32552">
            <w:pPr>
              <w:jc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四月</w:t>
            </w:r>
          </w:p>
        </w:tc>
        <w:tc>
          <w:tcPr>
            <w:tcW w:w="1550" w:type="dxa"/>
            <w:noWrap w:val="0"/>
            <w:vAlign w:val="center"/>
          </w:tcPr>
          <w:p w14:paraId="4F22FB79">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eastAsia="zh-CN"/>
              </w:rPr>
              <w:t>园区内</w:t>
            </w:r>
          </w:p>
        </w:tc>
        <w:tc>
          <w:tcPr>
            <w:tcW w:w="4584" w:type="dxa"/>
            <w:noWrap w:val="0"/>
            <w:vAlign w:val="top"/>
          </w:tcPr>
          <w:p w14:paraId="4D531BC2">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1.湖南旺旺食品有限公司</w:t>
            </w:r>
          </w:p>
          <w:p w14:paraId="2BC2FB80">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2.中粮可口可乐华中饮料有限公司</w:t>
            </w:r>
          </w:p>
          <w:p w14:paraId="4410F9D7">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3.湖南新希望南山液态乳业有限公司</w:t>
            </w:r>
          </w:p>
          <w:p w14:paraId="1A37965C">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4.湖南光明乳品有限公司</w:t>
            </w:r>
          </w:p>
          <w:p w14:paraId="4954CA9B">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5.湖南大杰食品有限公司</w:t>
            </w:r>
          </w:p>
        </w:tc>
        <w:tc>
          <w:tcPr>
            <w:tcW w:w="1002" w:type="dxa"/>
            <w:noWrap w:val="0"/>
            <w:vAlign w:val="top"/>
          </w:tcPr>
          <w:p w14:paraId="3D440103">
            <w:pPr>
              <w:jc w:val="center"/>
              <w:rPr>
                <w:rFonts w:hint="eastAsia" w:ascii="仿宋_GB2312" w:hAnsi="仿宋_GB2312" w:eastAsia="仿宋_GB2312" w:cs="仿宋_GB2312"/>
                <w:sz w:val="24"/>
                <w:szCs w:val="24"/>
                <w:vertAlign w:val="baseline"/>
              </w:rPr>
            </w:pPr>
          </w:p>
        </w:tc>
      </w:tr>
      <w:tr w14:paraId="7F181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386" w:type="dxa"/>
            <w:vMerge w:val="continue"/>
            <w:noWrap w:val="0"/>
            <w:vAlign w:val="center"/>
          </w:tcPr>
          <w:p w14:paraId="2FCC8784">
            <w:pPr>
              <w:jc w:val="center"/>
              <w:rPr>
                <w:rFonts w:hint="eastAsia" w:ascii="仿宋_GB2312" w:hAnsi="仿宋_GB2312" w:eastAsia="仿宋_GB2312" w:cs="仿宋_GB2312"/>
                <w:color w:val="000000"/>
                <w:sz w:val="24"/>
                <w:szCs w:val="24"/>
                <w:lang w:eastAsia="zh-CN"/>
              </w:rPr>
            </w:pPr>
          </w:p>
        </w:tc>
        <w:tc>
          <w:tcPr>
            <w:tcW w:w="1550" w:type="dxa"/>
            <w:noWrap w:val="0"/>
            <w:vAlign w:val="center"/>
          </w:tcPr>
          <w:p w14:paraId="4949E58A">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eastAsia="zh-CN"/>
              </w:rPr>
              <w:t>园区外</w:t>
            </w:r>
          </w:p>
        </w:tc>
        <w:tc>
          <w:tcPr>
            <w:tcW w:w="4584" w:type="dxa"/>
            <w:noWrap w:val="0"/>
            <w:vAlign w:val="top"/>
          </w:tcPr>
          <w:p w14:paraId="6F5FB79F">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1.湖南宇成食品有限公司</w:t>
            </w:r>
          </w:p>
          <w:p w14:paraId="50035602">
            <w:pPr>
              <w:pStyle w:val="2"/>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2"/>
                <w:sz w:val="24"/>
                <w:szCs w:val="24"/>
                <w:lang w:val="en-US" w:eastAsia="zh-CN" w:bidi="ar-SA"/>
              </w:rPr>
              <w:t>2.</w:t>
            </w:r>
            <w:r>
              <w:rPr>
                <w:rFonts w:hint="eastAsia" w:ascii="仿宋_GB2312" w:hAnsi="仿宋_GB2312" w:eastAsia="仿宋_GB2312" w:cs="仿宋_GB2312"/>
                <w:i w:val="0"/>
                <w:color w:val="000000"/>
                <w:sz w:val="24"/>
                <w:szCs w:val="24"/>
                <w:u w:val="none"/>
                <w:lang w:eastAsia="zh-CN"/>
              </w:rPr>
              <w:t>湖南精金玻璃有限公司</w:t>
            </w:r>
          </w:p>
        </w:tc>
        <w:tc>
          <w:tcPr>
            <w:tcW w:w="1002" w:type="dxa"/>
            <w:noWrap w:val="0"/>
            <w:vAlign w:val="top"/>
          </w:tcPr>
          <w:p w14:paraId="0B6ECD5A">
            <w:pPr>
              <w:jc w:val="center"/>
              <w:rPr>
                <w:rFonts w:hint="eastAsia" w:ascii="仿宋_GB2312" w:hAnsi="仿宋_GB2312" w:eastAsia="仿宋_GB2312" w:cs="仿宋_GB2312"/>
                <w:sz w:val="24"/>
                <w:szCs w:val="24"/>
                <w:vertAlign w:val="baseline"/>
              </w:rPr>
            </w:pPr>
          </w:p>
        </w:tc>
      </w:tr>
      <w:tr w14:paraId="63128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6" w:type="dxa"/>
            <w:vMerge w:val="restart"/>
            <w:noWrap w:val="0"/>
            <w:vAlign w:val="center"/>
          </w:tcPr>
          <w:p w14:paraId="1CF74F13">
            <w:pPr>
              <w:jc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五月</w:t>
            </w:r>
          </w:p>
        </w:tc>
        <w:tc>
          <w:tcPr>
            <w:tcW w:w="1550" w:type="dxa"/>
            <w:noWrap w:val="0"/>
            <w:vAlign w:val="center"/>
          </w:tcPr>
          <w:p w14:paraId="68EA0120">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eastAsia="zh-CN"/>
              </w:rPr>
              <w:t>园区内</w:t>
            </w:r>
          </w:p>
        </w:tc>
        <w:tc>
          <w:tcPr>
            <w:tcW w:w="4584" w:type="dxa"/>
            <w:noWrap w:val="0"/>
            <w:vAlign w:val="top"/>
          </w:tcPr>
          <w:p w14:paraId="534A1A26">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1.望城恒盛电力电杆有限公司</w:t>
            </w:r>
          </w:p>
          <w:p w14:paraId="212ECEE0">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2.长沙黑金刚实业有限公司</w:t>
            </w:r>
          </w:p>
          <w:p w14:paraId="794CED1F">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3.湖南金浩粮油工业有限公司</w:t>
            </w:r>
          </w:p>
          <w:p w14:paraId="56E43665">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4.长沙银鑫工程机械有限公司</w:t>
            </w:r>
          </w:p>
          <w:p w14:paraId="68864D93">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5.湖南中联重科应急装备有限公司</w:t>
            </w:r>
          </w:p>
          <w:p w14:paraId="0DB164FD">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6.长沙恒飞电缆有限公司</w:t>
            </w:r>
          </w:p>
        </w:tc>
        <w:tc>
          <w:tcPr>
            <w:tcW w:w="1002" w:type="dxa"/>
            <w:noWrap w:val="0"/>
            <w:vAlign w:val="top"/>
          </w:tcPr>
          <w:p w14:paraId="59277B95">
            <w:pPr>
              <w:jc w:val="center"/>
              <w:rPr>
                <w:rFonts w:hint="eastAsia" w:ascii="仿宋_GB2312" w:hAnsi="仿宋_GB2312" w:eastAsia="仿宋_GB2312" w:cs="仿宋_GB2312"/>
                <w:sz w:val="24"/>
                <w:szCs w:val="24"/>
                <w:vertAlign w:val="baseline"/>
              </w:rPr>
            </w:pPr>
          </w:p>
        </w:tc>
      </w:tr>
      <w:tr w14:paraId="0DF82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6" w:type="dxa"/>
            <w:vMerge w:val="continue"/>
            <w:noWrap w:val="0"/>
            <w:vAlign w:val="center"/>
          </w:tcPr>
          <w:p w14:paraId="4307F49F">
            <w:pPr>
              <w:jc w:val="center"/>
              <w:rPr>
                <w:rFonts w:hint="eastAsia" w:ascii="仿宋_GB2312" w:hAnsi="仿宋_GB2312" w:eastAsia="仿宋_GB2312" w:cs="仿宋_GB2312"/>
                <w:color w:val="000000"/>
                <w:sz w:val="24"/>
                <w:szCs w:val="24"/>
                <w:lang w:eastAsia="zh-CN"/>
              </w:rPr>
            </w:pPr>
          </w:p>
        </w:tc>
        <w:tc>
          <w:tcPr>
            <w:tcW w:w="1550" w:type="dxa"/>
            <w:noWrap w:val="0"/>
            <w:vAlign w:val="center"/>
          </w:tcPr>
          <w:p w14:paraId="3575E9AD">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eastAsia="zh-CN"/>
              </w:rPr>
              <w:t>园区外</w:t>
            </w:r>
          </w:p>
        </w:tc>
        <w:tc>
          <w:tcPr>
            <w:tcW w:w="4584" w:type="dxa"/>
            <w:noWrap w:val="0"/>
            <w:vAlign w:val="top"/>
          </w:tcPr>
          <w:p w14:paraId="7C3488D0">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1.长沙市望城区味中香食品有限公司</w:t>
            </w:r>
          </w:p>
          <w:p w14:paraId="0BC5D9E4">
            <w:pPr>
              <w:pStyle w:val="2"/>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w:t>
            </w:r>
            <w:r>
              <w:rPr>
                <w:rFonts w:hint="eastAsia" w:ascii="仿宋_GB2312" w:hAnsi="仿宋_GB2312" w:eastAsia="仿宋_GB2312" w:cs="仿宋_GB2312"/>
                <w:i w:val="0"/>
                <w:iCs w:val="0"/>
                <w:color w:val="000000"/>
                <w:kern w:val="0"/>
                <w:sz w:val="24"/>
                <w:szCs w:val="24"/>
                <w:u w:val="none"/>
                <w:lang w:val="en-US" w:eastAsia="zh-CN" w:bidi="ar"/>
              </w:rPr>
              <w:t>湖南铜官海旭陶瓷有限公司</w:t>
            </w:r>
          </w:p>
        </w:tc>
        <w:tc>
          <w:tcPr>
            <w:tcW w:w="1002" w:type="dxa"/>
            <w:noWrap w:val="0"/>
            <w:vAlign w:val="top"/>
          </w:tcPr>
          <w:p w14:paraId="78102EF7">
            <w:pPr>
              <w:jc w:val="center"/>
              <w:rPr>
                <w:rFonts w:hint="eastAsia" w:ascii="仿宋_GB2312" w:hAnsi="仿宋_GB2312" w:eastAsia="仿宋_GB2312" w:cs="仿宋_GB2312"/>
                <w:sz w:val="24"/>
                <w:szCs w:val="24"/>
                <w:vertAlign w:val="baseline"/>
              </w:rPr>
            </w:pPr>
          </w:p>
        </w:tc>
      </w:tr>
      <w:tr w14:paraId="778B7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6" w:type="dxa"/>
            <w:vMerge w:val="restart"/>
            <w:noWrap w:val="0"/>
            <w:vAlign w:val="center"/>
          </w:tcPr>
          <w:p w14:paraId="4AEFE97E">
            <w:pPr>
              <w:jc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六月</w:t>
            </w:r>
          </w:p>
        </w:tc>
        <w:tc>
          <w:tcPr>
            <w:tcW w:w="1550" w:type="dxa"/>
            <w:noWrap w:val="0"/>
            <w:vAlign w:val="center"/>
          </w:tcPr>
          <w:p w14:paraId="0E96782A">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eastAsia="zh-CN"/>
              </w:rPr>
              <w:t>园区内</w:t>
            </w:r>
          </w:p>
        </w:tc>
        <w:tc>
          <w:tcPr>
            <w:tcW w:w="4584" w:type="dxa"/>
            <w:noWrap w:val="0"/>
            <w:vAlign w:val="top"/>
          </w:tcPr>
          <w:p w14:paraId="01BFA86F">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1.湖南宝悦新型建材有限公司</w:t>
            </w:r>
          </w:p>
          <w:p w14:paraId="36C45BEA">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2.湖南天卓管业有限公司</w:t>
            </w:r>
          </w:p>
          <w:p w14:paraId="71858CCC">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w:t>
            </w:r>
            <w:r>
              <w:rPr>
                <w:rFonts w:hint="eastAsia" w:ascii="仿宋_GB2312" w:hAnsi="仿宋_GB2312" w:eastAsia="仿宋_GB2312" w:cs="仿宋_GB2312"/>
                <w:color w:val="000000"/>
                <w:sz w:val="24"/>
                <w:szCs w:val="24"/>
                <w:lang w:val="en-US" w:eastAsia="zh-CN"/>
              </w:rPr>
              <w:fldChar w:fldCharType="begin"/>
            </w:r>
            <w:r>
              <w:rPr>
                <w:rFonts w:hint="eastAsia" w:ascii="仿宋_GB2312" w:hAnsi="仿宋_GB2312" w:eastAsia="仿宋_GB2312" w:cs="仿宋_GB2312"/>
                <w:color w:val="000000"/>
                <w:sz w:val="24"/>
                <w:szCs w:val="24"/>
                <w:lang w:val="en-US" w:eastAsia="zh-CN"/>
              </w:rPr>
              <w:instrText xml:space="preserve"> HYPERLINK "https://aiqicha.baidu.com/detail/compinfo?pid=xlTM-TogKuTwRfnN3l-Ibyx*J-kd-dyCqwmd&amp;pd=aen&amp;from=ps&amp;query=泽禹建材有限责任公司" \t "https://www.baidu.com/_blank" </w:instrText>
            </w:r>
            <w:r>
              <w:rPr>
                <w:rFonts w:hint="eastAsia" w:ascii="仿宋_GB2312" w:hAnsi="仿宋_GB2312" w:eastAsia="仿宋_GB2312" w:cs="仿宋_GB2312"/>
                <w:color w:val="000000"/>
                <w:sz w:val="24"/>
                <w:szCs w:val="24"/>
                <w:lang w:val="en-US" w:eastAsia="zh-CN"/>
              </w:rPr>
              <w:fldChar w:fldCharType="separate"/>
            </w:r>
            <w:r>
              <w:rPr>
                <w:rFonts w:hint="eastAsia" w:ascii="仿宋_GB2312" w:hAnsi="仿宋_GB2312" w:eastAsia="仿宋_GB2312" w:cs="仿宋_GB2312"/>
                <w:color w:val="000000"/>
                <w:sz w:val="24"/>
                <w:szCs w:val="24"/>
                <w:lang w:val="en-US" w:eastAsia="zh-CN"/>
              </w:rPr>
              <w:t>湖南泽禹建材有限公司</w:t>
            </w:r>
            <w:r>
              <w:rPr>
                <w:rFonts w:hint="eastAsia" w:ascii="仿宋_GB2312" w:hAnsi="仿宋_GB2312" w:eastAsia="仿宋_GB2312" w:cs="仿宋_GB2312"/>
                <w:color w:val="000000"/>
                <w:sz w:val="24"/>
                <w:szCs w:val="24"/>
                <w:lang w:val="en-US" w:eastAsia="zh-CN"/>
              </w:rPr>
              <w:fldChar w:fldCharType="end"/>
            </w:r>
          </w:p>
          <w:p w14:paraId="3CA7F088">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4.湖南勋辉科技有限公司</w:t>
            </w:r>
          </w:p>
          <w:p w14:paraId="6885E85E">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5.长沙宏锦精密机械制造有限公司</w:t>
            </w:r>
          </w:p>
          <w:p w14:paraId="14635669">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6.金龙电缆科技有限公司</w:t>
            </w:r>
          </w:p>
        </w:tc>
        <w:tc>
          <w:tcPr>
            <w:tcW w:w="1002" w:type="dxa"/>
            <w:noWrap w:val="0"/>
            <w:vAlign w:val="top"/>
          </w:tcPr>
          <w:p w14:paraId="48DAFC8E">
            <w:pPr>
              <w:jc w:val="center"/>
              <w:rPr>
                <w:rFonts w:hint="eastAsia" w:ascii="仿宋_GB2312" w:hAnsi="仿宋_GB2312" w:eastAsia="仿宋_GB2312" w:cs="仿宋_GB2312"/>
                <w:sz w:val="24"/>
                <w:szCs w:val="24"/>
                <w:vertAlign w:val="baseline"/>
              </w:rPr>
            </w:pPr>
          </w:p>
        </w:tc>
      </w:tr>
      <w:tr w14:paraId="7906D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1386" w:type="dxa"/>
            <w:vMerge w:val="continue"/>
            <w:noWrap w:val="0"/>
            <w:vAlign w:val="center"/>
          </w:tcPr>
          <w:p w14:paraId="253B5412">
            <w:pPr>
              <w:jc w:val="center"/>
              <w:rPr>
                <w:rFonts w:hint="eastAsia" w:ascii="仿宋_GB2312" w:hAnsi="仿宋_GB2312" w:eastAsia="仿宋_GB2312" w:cs="仿宋_GB2312"/>
                <w:color w:val="000000"/>
                <w:sz w:val="24"/>
                <w:szCs w:val="24"/>
                <w:lang w:eastAsia="zh-CN"/>
              </w:rPr>
            </w:pPr>
          </w:p>
        </w:tc>
        <w:tc>
          <w:tcPr>
            <w:tcW w:w="1550" w:type="dxa"/>
            <w:noWrap w:val="0"/>
            <w:vAlign w:val="center"/>
          </w:tcPr>
          <w:p w14:paraId="598C0F4F">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eastAsia="zh-CN"/>
              </w:rPr>
              <w:t>园区外</w:t>
            </w:r>
          </w:p>
        </w:tc>
        <w:tc>
          <w:tcPr>
            <w:tcW w:w="4584" w:type="dxa"/>
            <w:noWrap w:val="0"/>
            <w:vAlign w:val="top"/>
          </w:tcPr>
          <w:p w14:paraId="1130F160">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i w:val="0"/>
                <w:color w:val="000000"/>
                <w:spacing w:val="0"/>
                <w:sz w:val="24"/>
                <w:szCs w:val="24"/>
                <w:u w:val="none"/>
              </w:rPr>
            </w:pPr>
            <w:r>
              <w:rPr>
                <w:rFonts w:hint="eastAsia" w:ascii="仿宋_GB2312" w:hAnsi="仿宋_GB2312" w:eastAsia="仿宋_GB2312" w:cs="仿宋_GB2312"/>
                <w:i w:val="0"/>
                <w:color w:val="000000"/>
                <w:spacing w:val="0"/>
                <w:sz w:val="24"/>
                <w:szCs w:val="24"/>
                <w:u w:val="none"/>
                <w:lang w:val="en-US" w:eastAsia="zh-CN"/>
              </w:rPr>
              <w:t>1.</w:t>
            </w:r>
            <w:r>
              <w:rPr>
                <w:rFonts w:hint="eastAsia" w:ascii="仿宋_GB2312" w:hAnsi="仿宋_GB2312" w:eastAsia="仿宋_GB2312" w:cs="仿宋_GB2312"/>
                <w:i w:val="0"/>
                <w:color w:val="000000"/>
                <w:spacing w:val="0"/>
                <w:sz w:val="24"/>
                <w:szCs w:val="24"/>
                <w:u w:val="none"/>
              </w:rPr>
              <w:t>长沙市望城区湖动铸业机械有限公司</w:t>
            </w:r>
          </w:p>
          <w:p w14:paraId="348D3078">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2.长沙联祥精锻有限公司</w:t>
            </w:r>
          </w:p>
          <w:p w14:paraId="4868D529">
            <w:pPr>
              <w:pStyle w:val="2"/>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sz w:val="24"/>
                <w:szCs w:val="24"/>
                <w:u w:val="none"/>
                <w:lang w:val="en-US" w:eastAsia="zh-CN"/>
              </w:rPr>
              <w:t>3.</w:t>
            </w:r>
            <w:r>
              <w:rPr>
                <w:rFonts w:hint="eastAsia" w:ascii="仿宋_GB2312" w:hAnsi="仿宋_GB2312" w:eastAsia="仿宋_GB2312" w:cs="仿宋_GB2312"/>
                <w:i w:val="0"/>
                <w:color w:val="000000"/>
                <w:spacing w:val="0"/>
                <w:sz w:val="24"/>
                <w:szCs w:val="24"/>
                <w:u w:val="none"/>
                <w:lang w:val="en-US" w:eastAsia="zh-CN"/>
              </w:rPr>
              <w:t>湖南鼎辉机电设备制造有限公司</w:t>
            </w:r>
          </w:p>
        </w:tc>
        <w:tc>
          <w:tcPr>
            <w:tcW w:w="1002" w:type="dxa"/>
            <w:noWrap w:val="0"/>
            <w:vAlign w:val="top"/>
          </w:tcPr>
          <w:p w14:paraId="0EFE1702">
            <w:pPr>
              <w:jc w:val="center"/>
              <w:rPr>
                <w:rFonts w:hint="eastAsia" w:ascii="仿宋_GB2312" w:hAnsi="仿宋_GB2312" w:eastAsia="仿宋_GB2312" w:cs="仿宋_GB2312"/>
                <w:sz w:val="24"/>
                <w:szCs w:val="24"/>
                <w:vertAlign w:val="baseline"/>
              </w:rPr>
            </w:pPr>
          </w:p>
        </w:tc>
      </w:tr>
      <w:tr w14:paraId="380E9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6" w:type="dxa"/>
            <w:vMerge w:val="restart"/>
            <w:noWrap w:val="0"/>
            <w:vAlign w:val="center"/>
          </w:tcPr>
          <w:p w14:paraId="26AB93B7">
            <w:pPr>
              <w:jc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七月</w:t>
            </w:r>
          </w:p>
        </w:tc>
        <w:tc>
          <w:tcPr>
            <w:tcW w:w="1550" w:type="dxa"/>
            <w:noWrap w:val="0"/>
            <w:vAlign w:val="center"/>
          </w:tcPr>
          <w:p w14:paraId="16F57924">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eastAsia="zh-CN"/>
              </w:rPr>
              <w:t>园区内</w:t>
            </w:r>
          </w:p>
        </w:tc>
        <w:tc>
          <w:tcPr>
            <w:tcW w:w="4584" w:type="dxa"/>
            <w:noWrap w:val="0"/>
            <w:vAlign w:val="top"/>
          </w:tcPr>
          <w:p w14:paraId="2228F674">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1.湖南奔朗新材料科技有限公司</w:t>
            </w:r>
          </w:p>
          <w:p w14:paraId="38F02620">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2.湖南兆恒材料科技有限公司</w:t>
            </w:r>
          </w:p>
          <w:p w14:paraId="2A04AF16">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3.湖南真旺塑料包材包装有限公司</w:t>
            </w:r>
          </w:p>
          <w:p w14:paraId="7BF94048">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4.湖南省赛特汽车有限责任公司</w:t>
            </w:r>
          </w:p>
          <w:p w14:paraId="0B0A8A39">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5.望城海绵原料制品有限公司</w:t>
            </w:r>
          </w:p>
          <w:p w14:paraId="248D0937">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6.中钨稀有金属新材料（湖南）有限公司</w:t>
            </w:r>
          </w:p>
        </w:tc>
        <w:tc>
          <w:tcPr>
            <w:tcW w:w="1002" w:type="dxa"/>
            <w:noWrap w:val="0"/>
            <w:vAlign w:val="top"/>
          </w:tcPr>
          <w:p w14:paraId="6B45417C">
            <w:pPr>
              <w:jc w:val="center"/>
              <w:rPr>
                <w:rFonts w:hint="eastAsia" w:ascii="仿宋_GB2312" w:hAnsi="仿宋_GB2312" w:eastAsia="仿宋_GB2312" w:cs="仿宋_GB2312"/>
                <w:sz w:val="24"/>
                <w:szCs w:val="24"/>
                <w:vertAlign w:val="baseline"/>
              </w:rPr>
            </w:pPr>
          </w:p>
        </w:tc>
      </w:tr>
      <w:tr w14:paraId="6B8C9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6" w:type="dxa"/>
            <w:vMerge w:val="continue"/>
            <w:noWrap w:val="0"/>
            <w:vAlign w:val="center"/>
          </w:tcPr>
          <w:p w14:paraId="093E65D6">
            <w:pPr>
              <w:jc w:val="center"/>
              <w:rPr>
                <w:rFonts w:hint="eastAsia" w:ascii="仿宋_GB2312" w:hAnsi="仿宋_GB2312" w:eastAsia="仿宋_GB2312" w:cs="仿宋_GB2312"/>
                <w:color w:val="000000"/>
                <w:sz w:val="24"/>
                <w:szCs w:val="24"/>
                <w:lang w:eastAsia="zh-CN"/>
              </w:rPr>
            </w:pPr>
          </w:p>
        </w:tc>
        <w:tc>
          <w:tcPr>
            <w:tcW w:w="1550" w:type="dxa"/>
            <w:noWrap w:val="0"/>
            <w:vAlign w:val="center"/>
          </w:tcPr>
          <w:p w14:paraId="1E6923E9">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eastAsia="zh-CN"/>
              </w:rPr>
              <w:t>园区外</w:t>
            </w:r>
          </w:p>
        </w:tc>
        <w:tc>
          <w:tcPr>
            <w:tcW w:w="4584" w:type="dxa"/>
            <w:noWrap w:val="0"/>
            <w:vAlign w:val="top"/>
          </w:tcPr>
          <w:p w14:paraId="77F09365">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1.长沙富佳家居用品有限公司</w:t>
            </w:r>
          </w:p>
          <w:p w14:paraId="00AB7918">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w:t>
            </w:r>
            <w:r>
              <w:rPr>
                <w:rFonts w:hint="eastAsia" w:ascii="仿宋_GB2312" w:hAnsi="仿宋_GB2312" w:eastAsia="仿宋_GB2312" w:cs="仿宋_GB2312"/>
                <w:color w:val="000000"/>
                <w:sz w:val="24"/>
                <w:szCs w:val="24"/>
              </w:rPr>
              <w:t>长沙奥星金属表面处理有限公司</w:t>
            </w:r>
          </w:p>
          <w:p w14:paraId="2CFFD8C1">
            <w:pPr>
              <w:pStyle w:val="2"/>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000000"/>
                <w:kern w:val="0"/>
                <w:sz w:val="24"/>
                <w:szCs w:val="24"/>
                <w:u w:val="none"/>
                <w:lang w:val="en-US" w:eastAsia="zh-CN" w:bidi="ar"/>
              </w:rPr>
              <w:t>3.长沙市新朋机械设备有限公司</w:t>
            </w:r>
          </w:p>
        </w:tc>
        <w:tc>
          <w:tcPr>
            <w:tcW w:w="1002" w:type="dxa"/>
            <w:noWrap w:val="0"/>
            <w:vAlign w:val="top"/>
          </w:tcPr>
          <w:p w14:paraId="1EC120E5">
            <w:pPr>
              <w:jc w:val="center"/>
              <w:rPr>
                <w:rFonts w:hint="eastAsia" w:ascii="仿宋_GB2312" w:hAnsi="仿宋_GB2312" w:eastAsia="仿宋_GB2312" w:cs="仿宋_GB2312"/>
                <w:sz w:val="24"/>
                <w:szCs w:val="24"/>
                <w:vertAlign w:val="baseline"/>
              </w:rPr>
            </w:pPr>
          </w:p>
        </w:tc>
      </w:tr>
      <w:tr w14:paraId="675F1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6" w:type="dxa"/>
            <w:vMerge w:val="restart"/>
            <w:noWrap w:val="0"/>
            <w:vAlign w:val="center"/>
          </w:tcPr>
          <w:p w14:paraId="48D1A606">
            <w:pPr>
              <w:jc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八月</w:t>
            </w:r>
          </w:p>
        </w:tc>
        <w:tc>
          <w:tcPr>
            <w:tcW w:w="1550" w:type="dxa"/>
            <w:noWrap w:val="0"/>
            <w:vAlign w:val="center"/>
          </w:tcPr>
          <w:p w14:paraId="11931191">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eastAsia="zh-CN"/>
              </w:rPr>
              <w:t>园区内</w:t>
            </w:r>
          </w:p>
        </w:tc>
        <w:tc>
          <w:tcPr>
            <w:tcW w:w="4584" w:type="dxa"/>
            <w:noWrap w:val="0"/>
            <w:vAlign w:val="top"/>
          </w:tcPr>
          <w:p w14:paraId="78DC21E8">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1.湖南泰坦未来科技有限公司</w:t>
            </w:r>
          </w:p>
          <w:p w14:paraId="3F1341C4">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2.湖南长高高压开关有限公司</w:t>
            </w:r>
          </w:p>
          <w:p w14:paraId="59A2F30D">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w:t>
            </w:r>
            <w:r>
              <w:rPr>
                <w:rFonts w:hint="eastAsia" w:ascii="仿宋_GB2312" w:hAnsi="仿宋_GB2312" w:eastAsia="仿宋_GB2312" w:cs="仿宋_GB2312"/>
                <w:color w:val="000000"/>
                <w:sz w:val="24"/>
                <w:szCs w:val="24"/>
              </w:rPr>
              <w:t>中联重科股份有限公司中旺分公司</w:t>
            </w:r>
          </w:p>
          <w:p w14:paraId="4F038C9E">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4.长沙菱格木业有限公司</w:t>
            </w:r>
          </w:p>
          <w:p w14:paraId="26459DAE">
            <w:pPr>
              <w:pStyle w:val="2"/>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color w:val="000000"/>
                <w:kern w:val="2"/>
                <w:sz w:val="24"/>
                <w:szCs w:val="24"/>
                <w:lang w:val="en-US" w:eastAsia="zh-CN" w:bidi="ar-SA"/>
              </w:rPr>
              <w:t>5.湖南鑫顺汇热镀锌有限公司</w:t>
            </w:r>
          </w:p>
        </w:tc>
        <w:tc>
          <w:tcPr>
            <w:tcW w:w="1002" w:type="dxa"/>
            <w:noWrap w:val="0"/>
            <w:vAlign w:val="top"/>
          </w:tcPr>
          <w:p w14:paraId="0AC1B62A">
            <w:pPr>
              <w:jc w:val="center"/>
              <w:rPr>
                <w:rFonts w:hint="eastAsia" w:ascii="仿宋_GB2312" w:hAnsi="仿宋_GB2312" w:eastAsia="仿宋_GB2312" w:cs="仿宋_GB2312"/>
                <w:sz w:val="24"/>
                <w:szCs w:val="24"/>
                <w:vertAlign w:val="baseline"/>
              </w:rPr>
            </w:pPr>
          </w:p>
        </w:tc>
      </w:tr>
      <w:tr w14:paraId="02020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6" w:type="dxa"/>
            <w:vMerge w:val="continue"/>
            <w:noWrap w:val="0"/>
            <w:vAlign w:val="center"/>
          </w:tcPr>
          <w:p w14:paraId="66DC3083">
            <w:pPr>
              <w:jc w:val="center"/>
              <w:rPr>
                <w:rFonts w:hint="eastAsia" w:ascii="仿宋_GB2312" w:hAnsi="仿宋_GB2312" w:eastAsia="仿宋_GB2312" w:cs="仿宋_GB2312"/>
                <w:color w:val="000000"/>
                <w:sz w:val="24"/>
                <w:szCs w:val="24"/>
                <w:lang w:eastAsia="zh-CN"/>
              </w:rPr>
            </w:pPr>
          </w:p>
        </w:tc>
        <w:tc>
          <w:tcPr>
            <w:tcW w:w="1550" w:type="dxa"/>
            <w:noWrap w:val="0"/>
            <w:vAlign w:val="center"/>
          </w:tcPr>
          <w:p w14:paraId="26F336B4">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eastAsia="zh-CN"/>
              </w:rPr>
              <w:t>园区外</w:t>
            </w:r>
          </w:p>
        </w:tc>
        <w:tc>
          <w:tcPr>
            <w:tcW w:w="4584" w:type="dxa"/>
            <w:noWrap w:val="0"/>
            <w:vAlign w:val="top"/>
          </w:tcPr>
          <w:p w14:paraId="41363A86">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1.长沙大自然标识设计制作有限公司</w:t>
            </w:r>
          </w:p>
          <w:p w14:paraId="0D20E263">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2.长沙飞山奇建材有限公司</w:t>
            </w:r>
          </w:p>
        </w:tc>
        <w:tc>
          <w:tcPr>
            <w:tcW w:w="1002" w:type="dxa"/>
            <w:noWrap w:val="0"/>
            <w:vAlign w:val="top"/>
          </w:tcPr>
          <w:p w14:paraId="5F182D6A">
            <w:pPr>
              <w:jc w:val="center"/>
              <w:rPr>
                <w:rFonts w:hint="eastAsia" w:ascii="仿宋_GB2312" w:hAnsi="仿宋_GB2312" w:eastAsia="仿宋_GB2312" w:cs="仿宋_GB2312"/>
                <w:sz w:val="24"/>
                <w:szCs w:val="24"/>
                <w:vertAlign w:val="baseline"/>
              </w:rPr>
            </w:pPr>
          </w:p>
        </w:tc>
      </w:tr>
      <w:tr w14:paraId="15E16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6" w:type="dxa"/>
            <w:vMerge w:val="restart"/>
            <w:noWrap w:val="0"/>
            <w:vAlign w:val="center"/>
          </w:tcPr>
          <w:p w14:paraId="4AC64289">
            <w:pPr>
              <w:jc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九月</w:t>
            </w:r>
          </w:p>
        </w:tc>
        <w:tc>
          <w:tcPr>
            <w:tcW w:w="1550" w:type="dxa"/>
            <w:noWrap w:val="0"/>
            <w:vAlign w:val="center"/>
          </w:tcPr>
          <w:p w14:paraId="0B727901">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eastAsia="zh-CN"/>
              </w:rPr>
              <w:t>园区内</w:t>
            </w:r>
          </w:p>
        </w:tc>
        <w:tc>
          <w:tcPr>
            <w:tcW w:w="4584" w:type="dxa"/>
            <w:noWrap w:val="0"/>
            <w:vAlign w:val="top"/>
          </w:tcPr>
          <w:p w14:paraId="6CBC5BA3">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1.长沙经阁新材料有限公司</w:t>
            </w:r>
          </w:p>
          <w:p w14:paraId="25ABB004">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2.湖南航天磁电有限责任公司</w:t>
            </w:r>
          </w:p>
          <w:p w14:paraId="219CA19F">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3.五矿铍业股份有限公司</w:t>
            </w:r>
          </w:p>
          <w:p w14:paraId="4908F76E">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4.湖南腾旺环保科技有限公司</w:t>
            </w:r>
          </w:p>
          <w:p w14:paraId="039C8AE2">
            <w:pPr>
              <w:pStyle w:val="2"/>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textAlignment w:val="auto"/>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5.长沙市美宇电器有限公司</w:t>
            </w:r>
          </w:p>
          <w:p w14:paraId="67D22257">
            <w:pPr>
              <w:pStyle w:val="2"/>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textAlignment w:val="auto"/>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6.长沙东方雨虹砂粉科技有限公司</w:t>
            </w:r>
          </w:p>
        </w:tc>
        <w:tc>
          <w:tcPr>
            <w:tcW w:w="1002" w:type="dxa"/>
            <w:noWrap w:val="0"/>
            <w:vAlign w:val="top"/>
          </w:tcPr>
          <w:p w14:paraId="1378D240">
            <w:pPr>
              <w:jc w:val="center"/>
              <w:rPr>
                <w:rFonts w:hint="eastAsia" w:ascii="仿宋_GB2312" w:hAnsi="仿宋_GB2312" w:eastAsia="仿宋_GB2312" w:cs="仿宋_GB2312"/>
                <w:sz w:val="24"/>
                <w:szCs w:val="24"/>
                <w:vertAlign w:val="baseline"/>
              </w:rPr>
            </w:pPr>
          </w:p>
        </w:tc>
      </w:tr>
      <w:tr w14:paraId="0014A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6" w:type="dxa"/>
            <w:vMerge w:val="continue"/>
            <w:noWrap w:val="0"/>
            <w:vAlign w:val="center"/>
          </w:tcPr>
          <w:p w14:paraId="71A508CA">
            <w:pPr>
              <w:jc w:val="center"/>
              <w:rPr>
                <w:rFonts w:hint="eastAsia" w:ascii="仿宋_GB2312" w:hAnsi="仿宋_GB2312" w:eastAsia="仿宋_GB2312" w:cs="仿宋_GB2312"/>
                <w:color w:val="000000"/>
                <w:sz w:val="24"/>
                <w:szCs w:val="24"/>
                <w:lang w:eastAsia="zh-CN"/>
              </w:rPr>
            </w:pPr>
          </w:p>
        </w:tc>
        <w:tc>
          <w:tcPr>
            <w:tcW w:w="1550" w:type="dxa"/>
            <w:noWrap w:val="0"/>
            <w:vAlign w:val="center"/>
          </w:tcPr>
          <w:p w14:paraId="6AC52448">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eastAsia="zh-CN"/>
              </w:rPr>
              <w:t>园区外</w:t>
            </w:r>
          </w:p>
        </w:tc>
        <w:tc>
          <w:tcPr>
            <w:tcW w:w="4584" w:type="dxa"/>
            <w:noWrap w:val="0"/>
            <w:vAlign w:val="top"/>
          </w:tcPr>
          <w:p w14:paraId="01A98ADB">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1.长沙鸿骏包装制品有限公司</w:t>
            </w:r>
          </w:p>
          <w:p w14:paraId="16EACF87">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i w:val="0"/>
                <w:color w:val="000000"/>
                <w:spacing w:val="0"/>
                <w:sz w:val="24"/>
                <w:szCs w:val="24"/>
                <w:u w:val="none"/>
                <w:lang w:eastAsia="zh-CN"/>
              </w:rPr>
            </w:pPr>
            <w:r>
              <w:rPr>
                <w:rFonts w:hint="eastAsia" w:ascii="仿宋_GB2312" w:hAnsi="仿宋_GB2312" w:eastAsia="仿宋_GB2312" w:cs="仿宋_GB2312"/>
                <w:i w:val="0"/>
                <w:color w:val="000000"/>
                <w:spacing w:val="0"/>
                <w:sz w:val="24"/>
                <w:szCs w:val="24"/>
                <w:u w:val="none"/>
                <w:lang w:val="en-US" w:eastAsia="zh-CN"/>
              </w:rPr>
              <w:t>2.</w:t>
            </w:r>
            <w:r>
              <w:rPr>
                <w:rFonts w:hint="eastAsia" w:ascii="仿宋_GB2312" w:hAnsi="仿宋_GB2312" w:eastAsia="仿宋_GB2312" w:cs="仿宋_GB2312"/>
                <w:i w:val="0"/>
                <w:color w:val="000000"/>
                <w:spacing w:val="0"/>
                <w:sz w:val="24"/>
                <w:szCs w:val="24"/>
                <w:u w:val="none"/>
                <w:lang w:eastAsia="zh-CN"/>
              </w:rPr>
              <w:t>湖南熙为包装材料有限公司</w:t>
            </w:r>
          </w:p>
          <w:p w14:paraId="1F9FF60A">
            <w:pPr>
              <w:pStyle w:val="2"/>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2"/>
                <w:sz w:val="24"/>
                <w:szCs w:val="24"/>
                <w:lang w:val="en-US" w:eastAsia="zh-CN" w:bidi="ar-SA"/>
              </w:rPr>
              <w:t>3.敬得包装（湖南）有限公司</w:t>
            </w:r>
          </w:p>
        </w:tc>
        <w:tc>
          <w:tcPr>
            <w:tcW w:w="1002" w:type="dxa"/>
            <w:noWrap w:val="0"/>
            <w:vAlign w:val="top"/>
          </w:tcPr>
          <w:p w14:paraId="1E21E5F2">
            <w:pPr>
              <w:jc w:val="center"/>
              <w:rPr>
                <w:rFonts w:hint="eastAsia" w:ascii="仿宋_GB2312" w:hAnsi="仿宋_GB2312" w:eastAsia="仿宋_GB2312" w:cs="仿宋_GB2312"/>
                <w:sz w:val="24"/>
                <w:szCs w:val="24"/>
                <w:vertAlign w:val="baseline"/>
              </w:rPr>
            </w:pPr>
          </w:p>
        </w:tc>
      </w:tr>
      <w:tr w14:paraId="1250E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6" w:type="dxa"/>
            <w:vMerge w:val="restart"/>
            <w:noWrap w:val="0"/>
            <w:vAlign w:val="center"/>
          </w:tcPr>
          <w:p w14:paraId="721BD643">
            <w:pPr>
              <w:jc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十月</w:t>
            </w:r>
          </w:p>
        </w:tc>
        <w:tc>
          <w:tcPr>
            <w:tcW w:w="1550" w:type="dxa"/>
            <w:noWrap w:val="0"/>
            <w:vAlign w:val="center"/>
          </w:tcPr>
          <w:p w14:paraId="0A806C26">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eastAsia="zh-CN"/>
              </w:rPr>
              <w:t>园区内</w:t>
            </w:r>
          </w:p>
        </w:tc>
        <w:tc>
          <w:tcPr>
            <w:tcW w:w="4584" w:type="dxa"/>
            <w:noWrap w:val="0"/>
            <w:vAlign w:val="top"/>
          </w:tcPr>
          <w:p w14:paraId="4BFD3CF8">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1.湖南宝利沥青有限公司</w:t>
            </w:r>
          </w:p>
          <w:p w14:paraId="514DFFFA">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2.湖南派意特服饰有限公司</w:t>
            </w:r>
          </w:p>
          <w:p w14:paraId="7CD2164F">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3.湖南梦云棉制品有限公司</w:t>
            </w:r>
          </w:p>
          <w:p w14:paraId="52CE836E">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4.湖南博奥玻璃制品有限公司</w:t>
            </w:r>
          </w:p>
          <w:p w14:paraId="39EA1B63">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5.长沙博海生物科技有限公司望城分公司6.湖南天闻新华印务有限公司</w:t>
            </w:r>
          </w:p>
        </w:tc>
        <w:tc>
          <w:tcPr>
            <w:tcW w:w="1002" w:type="dxa"/>
            <w:noWrap w:val="0"/>
            <w:vAlign w:val="top"/>
          </w:tcPr>
          <w:p w14:paraId="51503FA4">
            <w:pPr>
              <w:jc w:val="center"/>
              <w:rPr>
                <w:rFonts w:hint="eastAsia" w:ascii="仿宋_GB2312" w:hAnsi="仿宋_GB2312" w:eastAsia="仿宋_GB2312" w:cs="仿宋_GB2312"/>
                <w:sz w:val="24"/>
                <w:szCs w:val="24"/>
                <w:vertAlign w:val="baseline"/>
              </w:rPr>
            </w:pPr>
          </w:p>
        </w:tc>
      </w:tr>
      <w:tr w14:paraId="7BBFB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6" w:type="dxa"/>
            <w:vMerge w:val="continue"/>
            <w:noWrap w:val="0"/>
            <w:vAlign w:val="center"/>
          </w:tcPr>
          <w:p w14:paraId="4EF61B6B">
            <w:pPr>
              <w:jc w:val="center"/>
              <w:rPr>
                <w:rFonts w:hint="eastAsia" w:ascii="仿宋_GB2312" w:hAnsi="仿宋_GB2312" w:eastAsia="仿宋_GB2312" w:cs="仿宋_GB2312"/>
                <w:color w:val="000000"/>
                <w:sz w:val="24"/>
                <w:szCs w:val="24"/>
                <w:lang w:eastAsia="zh-CN"/>
              </w:rPr>
            </w:pPr>
          </w:p>
        </w:tc>
        <w:tc>
          <w:tcPr>
            <w:tcW w:w="1550" w:type="dxa"/>
            <w:noWrap w:val="0"/>
            <w:vAlign w:val="center"/>
          </w:tcPr>
          <w:p w14:paraId="026C3A8D">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eastAsia="zh-CN"/>
              </w:rPr>
              <w:t>园区外</w:t>
            </w:r>
          </w:p>
        </w:tc>
        <w:tc>
          <w:tcPr>
            <w:tcW w:w="4584" w:type="dxa"/>
            <w:noWrap w:val="0"/>
            <w:vAlign w:val="top"/>
          </w:tcPr>
          <w:p w14:paraId="78386636">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1.</w:t>
            </w:r>
            <w:r>
              <w:rPr>
                <w:rFonts w:hint="eastAsia" w:ascii="仿宋_GB2312" w:hAnsi="仿宋_GB2312" w:eastAsia="仿宋_GB2312" w:cs="仿宋_GB2312"/>
                <w:color w:val="000000"/>
                <w:sz w:val="24"/>
                <w:szCs w:val="24"/>
              </w:rPr>
              <w:t>长沙中巨机械有限公司</w:t>
            </w:r>
          </w:p>
          <w:p w14:paraId="748CA73A">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w:t>
            </w:r>
            <w:r>
              <w:rPr>
                <w:rFonts w:hint="eastAsia" w:ascii="仿宋_GB2312" w:hAnsi="仿宋_GB2312" w:eastAsia="仿宋_GB2312" w:cs="仿宋_GB2312"/>
                <w:color w:val="000000"/>
                <w:sz w:val="24"/>
                <w:szCs w:val="24"/>
              </w:rPr>
              <w:t>中阀科技（长沙）阀门有限公司</w:t>
            </w:r>
          </w:p>
          <w:p w14:paraId="3EA908E0">
            <w:pPr>
              <w:pStyle w:val="2"/>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textAlignment w:val="auto"/>
              <w:rPr>
                <w:rFonts w:hint="default" w:eastAsia="仿宋_GB2312"/>
                <w:lang w:val="en-US" w:eastAsia="zh-CN"/>
              </w:rPr>
            </w:pPr>
            <w:r>
              <w:rPr>
                <w:rFonts w:hint="eastAsia" w:ascii="仿宋_GB2312" w:hAnsi="仿宋_GB2312" w:eastAsia="仿宋_GB2312" w:cs="仿宋_GB2312"/>
                <w:color w:val="000000"/>
                <w:sz w:val="24"/>
                <w:szCs w:val="24"/>
                <w:lang w:val="en-US" w:eastAsia="zh-CN"/>
              </w:rPr>
              <w:t>3.湖南联泰环境有限公司</w:t>
            </w:r>
          </w:p>
        </w:tc>
        <w:tc>
          <w:tcPr>
            <w:tcW w:w="1002" w:type="dxa"/>
            <w:noWrap w:val="0"/>
            <w:vAlign w:val="top"/>
          </w:tcPr>
          <w:p w14:paraId="02CFE899">
            <w:pPr>
              <w:jc w:val="center"/>
              <w:rPr>
                <w:rFonts w:hint="eastAsia" w:ascii="仿宋_GB2312" w:hAnsi="仿宋_GB2312" w:eastAsia="仿宋_GB2312" w:cs="仿宋_GB2312"/>
                <w:sz w:val="24"/>
                <w:szCs w:val="24"/>
                <w:vertAlign w:val="baseline"/>
              </w:rPr>
            </w:pPr>
          </w:p>
        </w:tc>
      </w:tr>
      <w:tr w14:paraId="26790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6" w:type="dxa"/>
            <w:vMerge w:val="restart"/>
            <w:noWrap w:val="0"/>
            <w:vAlign w:val="center"/>
          </w:tcPr>
          <w:p w14:paraId="03DE2B4C">
            <w:pPr>
              <w:jc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十一月</w:t>
            </w:r>
          </w:p>
        </w:tc>
        <w:tc>
          <w:tcPr>
            <w:tcW w:w="1550" w:type="dxa"/>
            <w:noWrap w:val="0"/>
            <w:vAlign w:val="center"/>
          </w:tcPr>
          <w:p w14:paraId="28D40A94">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eastAsia="zh-CN"/>
              </w:rPr>
              <w:t>园区内</w:t>
            </w:r>
          </w:p>
        </w:tc>
        <w:tc>
          <w:tcPr>
            <w:tcW w:w="4584" w:type="dxa"/>
            <w:noWrap w:val="0"/>
            <w:vAlign w:val="top"/>
          </w:tcPr>
          <w:p w14:paraId="65C926B0">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1.湖南恒茂信息技术有限公司</w:t>
            </w:r>
          </w:p>
          <w:p w14:paraId="5EC9C079">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2.利亚德(湖南)光电有限公司</w:t>
            </w:r>
          </w:p>
          <w:p w14:paraId="640CE249">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3.长沙瑶华半导体科技有限公司</w:t>
            </w:r>
          </w:p>
          <w:p w14:paraId="4D2A3FE5">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4.湖南华秋数字科技有限公司</w:t>
            </w:r>
          </w:p>
          <w:p w14:paraId="4745C469">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5.长沙大华科技有限公司</w:t>
            </w:r>
          </w:p>
          <w:p w14:paraId="36410C6C">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6.长沙贝斯特热流道科技有限公司</w:t>
            </w:r>
          </w:p>
        </w:tc>
        <w:tc>
          <w:tcPr>
            <w:tcW w:w="1002" w:type="dxa"/>
            <w:noWrap w:val="0"/>
            <w:vAlign w:val="top"/>
          </w:tcPr>
          <w:p w14:paraId="547BC4C7">
            <w:pPr>
              <w:jc w:val="center"/>
              <w:rPr>
                <w:rFonts w:hint="eastAsia" w:ascii="仿宋_GB2312" w:hAnsi="仿宋_GB2312" w:eastAsia="仿宋_GB2312" w:cs="仿宋_GB2312"/>
                <w:sz w:val="24"/>
                <w:szCs w:val="24"/>
                <w:vertAlign w:val="baseline"/>
              </w:rPr>
            </w:pPr>
          </w:p>
        </w:tc>
      </w:tr>
      <w:tr w14:paraId="00D5B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6" w:type="dxa"/>
            <w:vMerge w:val="continue"/>
            <w:noWrap w:val="0"/>
            <w:vAlign w:val="center"/>
          </w:tcPr>
          <w:p w14:paraId="3E2B35A6">
            <w:pPr>
              <w:jc w:val="center"/>
              <w:rPr>
                <w:rFonts w:hint="eastAsia" w:ascii="仿宋_GB2312" w:hAnsi="仿宋_GB2312" w:eastAsia="仿宋_GB2312" w:cs="仿宋_GB2312"/>
                <w:color w:val="000000"/>
                <w:sz w:val="24"/>
                <w:szCs w:val="24"/>
                <w:lang w:eastAsia="zh-CN"/>
              </w:rPr>
            </w:pPr>
          </w:p>
        </w:tc>
        <w:tc>
          <w:tcPr>
            <w:tcW w:w="1550" w:type="dxa"/>
            <w:noWrap w:val="0"/>
            <w:vAlign w:val="center"/>
          </w:tcPr>
          <w:p w14:paraId="1B21C913">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eastAsia="zh-CN"/>
              </w:rPr>
              <w:t>园区外</w:t>
            </w:r>
          </w:p>
        </w:tc>
        <w:tc>
          <w:tcPr>
            <w:tcW w:w="4584" w:type="dxa"/>
            <w:noWrap w:val="0"/>
            <w:vAlign w:val="top"/>
          </w:tcPr>
          <w:p w14:paraId="5EEFBE18">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i w:val="0"/>
                <w:color w:val="000000"/>
                <w:spacing w:val="0"/>
                <w:sz w:val="24"/>
                <w:szCs w:val="24"/>
                <w:u w:val="none"/>
                <w:lang w:val="en-US" w:eastAsia="zh-CN"/>
              </w:rPr>
            </w:pPr>
            <w:r>
              <w:rPr>
                <w:rFonts w:hint="eastAsia" w:ascii="仿宋_GB2312" w:hAnsi="仿宋_GB2312" w:eastAsia="仿宋_GB2312" w:cs="仿宋_GB2312"/>
                <w:i w:val="0"/>
                <w:color w:val="000000"/>
                <w:spacing w:val="0"/>
                <w:sz w:val="24"/>
                <w:szCs w:val="24"/>
                <w:u w:val="none"/>
                <w:lang w:val="en-US" w:eastAsia="zh-CN"/>
              </w:rPr>
              <w:t>1.湖南长诚电子科技有限公司</w:t>
            </w:r>
          </w:p>
          <w:p w14:paraId="7DDAE765">
            <w:pPr>
              <w:pStyle w:val="2"/>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2.</w:t>
            </w:r>
            <w:r>
              <w:rPr>
                <w:rFonts w:hint="eastAsia" w:ascii="仿宋_GB2312" w:hAnsi="仿宋_GB2312" w:eastAsia="仿宋_GB2312" w:cs="仿宋_GB2312"/>
                <w:sz w:val="24"/>
                <w:szCs w:val="24"/>
              </w:rPr>
              <w:t>长沙市乘风机械设备有限公司</w:t>
            </w:r>
          </w:p>
        </w:tc>
        <w:tc>
          <w:tcPr>
            <w:tcW w:w="1002" w:type="dxa"/>
            <w:noWrap w:val="0"/>
            <w:vAlign w:val="top"/>
          </w:tcPr>
          <w:p w14:paraId="7A436084">
            <w:pPr>
              <w:jc w:val="center"/>
              <w:rPr>
                <w:rFonts w:hint="eastAsia" w:ascii="仿宋_GB2312" w:hAnsi="仿宋_GB2312" w:eastAsia="仿宋_GB2312" w:cs="仿宋_GB2312"/>
                <w:sz w:val="24"/>
                <w:szCs w:val="24"/>
                <w:vertAlign w:val="baseline"/>
              </w:rPr>
            </w:pPr>
          </w:p>
        </w:tc>
      </w:tr>
      <w:tr w14:paraId="5697A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6" w:type="dxa"/>
            <w:vMerge w:val="restart"/>
            <w:noWrap w:val="0"/>
            <w:vAlign w:val="center"/>
          </w:tcPr>
          <w:p w14:paraId="43BF9A47">
            <w:pPr>
              <w:jc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十二月</w:t>
            </w:r>
          </w:p>
        </w:tc>
        <w:tc>
          <w:tcPr>
            <w:tcW w:w="1550" w:type="dxa"/>
            <w:noWrap w:val="0"/>
            <w:vAlign w:val="center"/>
          </w:tcPr>
          <w:p w14:paraId="57A68C1A">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eastAsia="zh-CN"/>
              </w:rPr>
              <w:t>园区内</w:t>
            </w:r>
          </w:p>
        </w:tc>
        <w:tc>
          <w:tcPr>
            <w:tcW w:w="4584" w:type="dxa"/>
            <w:noWrap w:val="0"/>
            <w:vAlign w:val="top"/>
          </w:tcPr>
          <w:p w14:paraId="379BCFED">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1.长沙比亚迪电子有限公司</w:t>
            </w:r>
          </w:p>
          <w:p w14:paraId="53CA81D7">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2.德赛电池（长沙）有限公司</w:t>
            </w:r>
          </w:p>
          <w:p w14:paraId="408BF097">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3.湖南德赛电池有限公司</w:t>
            </w:r>
          </w:p>
          <w:p w14:paraId="1965A230">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4.长沙兆兴博拓科技有限公司</w:t>
            </w:r>
          </w:p>
          <w:p w14:paraId="177D79E6">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5.湖南创科光电有限责任公司</w:t>
            </w:r>
          </w:p>
          <w:p w14:paraId="6EF580F1">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6.湖南省迈德威视科技有限公司</w:t>
            </w:r>
          </w:p>
        </w:tc>
        <w:tc>
          <w:tcPr>
            <w:tcW w:w="1002" w:type="dxa"/>
            <w:noWrap w:val="0"/>
            <w:vAlign w:val="top"/>
          </w:tcPr>
          <w:p w14:paraId="7A4A9305">
            <w:pPr>
              <w:jc w:val="center"/>
              <w:rPr>
                <w:rFonts w:hint="eastAsia" w:ascii="仿宋_GB2312" w:hAnsi="仿宋_GB2312" w:eastAsia="仿宋_GB2312" w:cs="仿宋_GB2312"/>
                <w:sz w:val="24"/>
                <w:szCs w:val="24"/>
                <w:vertAlign w:val="baseline"/>
              </w:rPr>
            </w:pPr>
          </w:p>
        </w:tc>
      </w:tr>
      <w:tr w14:paraId="408EE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6" w:type="dxa"/>
            <w:vMerge w:val="continue"/>
            <w:noWrap w:val="0"/>
            <w:vAlign w:val="center"/>
          </w:tcPr>
          <w:p w14:paraId="4B44E9BB">
            <w:pPr>
              <w:jc w:val="center"/>
              <w:rPr>
                <w:rFonts w:hint="eastAsia" w:ascii="仿宋_GB2312" w:hAnsi="仿宋_GB2312" w:eastAsia="仿宋_GB2312" w:cs="仿宋_GB2312"/>
                <w:color w:val="000000"/>
                <w:sz w:val="24"/>
                <w:szCs w:val="24"/>
                <w:lang w:eastAsia="zh-CN"/>
              </w:rPr>
            </w:pPr>
          </w:p>
        </w:tc>
        <w:tc>
          <w:tcPr>
            <w:tcW w:w="1550" w:type="dxa"/>
            <w:noWrap w:val="0"/>
            <w:vAlign w:val="center"/>
          </w:tcPr>
          <w:p w14:paraId="7314C265">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eastAsia="zh-CN"/>
              </w:rPr>
              <w:t>园区外</w:t>
            </w:r>
          </w:p>
        </w:tc>
        <w:tc>
          <w:tcPr>
            <w:tcW w:w="4584" w:type="dxa"/>
            <w:noWrap w:val="0"/>
            <w:vAlign w:val="top"/>
          </w:tcPr>
          <w:p w14:paraId="6158E639">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1.长沙琦琦塑料制品有限公司</w:t>
            </w:r>
          </w:p>
          <w:p w14:paraId="0D76017C">
            <w:pPr>
              <w:pStyle w:val="2"/>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textAlignment w:val="auto"/>
              <w:rPr>
                <w:rFonts w:hint="eastAsia"/>
              </w:rPr>
            </w:pPr>
            <w:r>
              <w:rPr>
                <w:rFonts w:hint="eastAsia" w:ascii="仿宋_GB2312" w:hAnsi="仿宋_GB2312" w:eastAsia="仿宋_GB2312" w:cs="仿宋_GB2312"/>
                <w:color w:val="000000"/>
                <w:kern w:val="2"/>
                <w:sz w:val="24"/>
                <w:szCs w:val="24"/>
                <w:lang w:val="en-US" w:eastAsia="zh-CN" w:bidi="ar-SA"/>
              </w:rPr>
              <w:t>2.湖南中航精工有限公司长沙分公司</w:t>
            </w:r>
          </w:p>
        </w:tc>
        <w:tc>
          <w:tcPr>
            <w:tcW w:w="1002" w:type="dxa"/>
            <w:noWrap w:val="0"/>
            <w:vAlign w:val="top"/>
          </w:tcPr>
          <w:p w14:paraId="57FE3A75">
            <w:pPr>
              <w:jc w:val="center"/>
              <w:rPr>
                <w:rFonts w:hint="eastAsia" w:ascii="仿宋_GB2312" w:hAnsi="仿宋_GB2312" w:eastAsia="仿宋_GB2312" w:cs="仿宋_GB2312"/>
                <w:sz w:val="24"/>
                <w:szCs w:val="24"/>
                <w:vertAlign w:val="baseline"/>
              </w:rPr>
            </w:pPr>
          </w:p>
        </w:tc>
      </w:tr>
      <w:tr w14:paraId="14BA7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2" w:hRule="atLeast"/>
          <w:jc w:val="center"/>
        </w:trPr>
        <w:tc>
          <w:tcPr>
            <w:tcW w:w="1386" w:type="dxa"/>
            <w:noWrap w:val="0"/>
            <w:vAlign w:val="center"/>
          </w:tcPr>
          <w:p w14:paraId="6385B14C">
            <w:pPr>
              <w:jc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说</w:t>
            </w:r>
            <w:r>
              <w:rPr>
                <w:rFonts w:hint="eastAsia" w:ascii="仿宋_GB2312" w:hAnsi="仿宋_GB2312" w:eastAsia="仿宋_GB2312" w:cs="仿宋_GB2312"/>
                <w:color w:val="000000"/>
                <w:sz w:val="24"/>
                <w:szCs w:val="24"/>
                <w:lang w:val="en-US" w:eastAsia="zh-CN"/>
              </w:rPr>
              <w:t xml:space="preserve">  </w:t>
            </w:r>
            <w:r>
              <w:rPr>
                <w:rFonts w:hint="eastAsia" w:ascii="仿宋_GB2312" w:hAnsi="仿宋_GB2312" w:eastAsia="仿宋_GB2312" w:cs="仿宋_GB2312"/>
                <w:color w:val="000000"/>
                <w:sz w:val="24"/>
                <w:szCs w:val="24"/>
                <w:lang w:eastAsia="zh-CN"/>
              </w:rPr>
              <w:t>明</w:t>
            </w:r>
          </w:p>
        </w:tc>
        <w:tc>
          <w:tcPr>
            <w:tcW w:w="7136" w:type="dxa"/>
            <w:gridSpan w:val="3"/>
            <w:noWrap w:val="0"/>
            <w:vAlign w:val="center"/>
          </w:tcPr>
          <w:p w14:paraId="44E664F5">
            <w:pPr>
              <w:pStyle w:val="2"/>
              <w:keepNext w:val="0"/>
              <w:keepLines w:val="0"/>
              <w:pageBreakBefore w:val="0"/>
              <w:widowControl w:val="0"/>
              <w:numPr>
                <w:ilvl w:val="0"/>
                <w:numId w:val="0"/>
              </w:numPr>
              <w:kinsoku/>
              <w:wordWrap/>
              <w:overflowPunct/>
              <w:topLinePunct w:val="0"/>
              <w:autoSpaceDE/>
              <w:autoSpaceDN/>
              <w:bidi w:val="0"/>
              <w:adjustRightInd/>
              <w:snapToGrid/>
              <w:spacing w:after="0" w:line="320" w:lineRule="exact"/>
              <w:ind w:leftChars="0"/>
              <w:textAlignment w:val="auto"/>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1.本年度纳入计划检查企业97家（园区内企业69家、园区外企业28家，监督检查计划内涉及园区企业的具体工作任务由我局安排至园区的6名工作人员完成）；</w:t>
            </w:r>
          </w:p>
          <w:p w14:paraId="36FA2766">
            <w:pPr>
              <w:pStyle w:val="2"/>
              <w:keepNext w:val="0"/>
              <w:keepLines w:val="0"/>
              <w:pageBreakBefore w:val="0"/>
              <w:widowControl w:val="0"/>
              <w:numPr>
                <w:ilvl w:val="0"/>
                <w:numId w:val="0"/>
              </w:numPr>
              <w:kinsoku/>
              <w:wordWrap/>
              <w:overflowPunct/>
              <w:topLinePunct w:val="0"/>
              <w:autoSpaceDE/>
              <w:autoSpaceDN/>
              <w:bidi w:val="0"/>
              <w:adjustRightInd/>
              <w:snapToGrid/>
              <w:spacing w:after="0" w:line="320" w:lineRule="exact"/>
              <w:ind w:leftChars="0"/>
              <w:textAlignment w:val="auto"/>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2.“双随机”结合省市组织的专项检查进行，随机抽查30家；</w:t>
            </w:r>
          </w:p>
          <w:p w14:paraId="239F020B">
            <w:pPr>
              <w:pStyle w:val="2"/>
              <w:keepNext w:val="0"/>
              <w:keepLines w:val="0"/>
              <w:pageBreakBefore w:val="0"/>
              <w:widowControl w:val="0"/>
              <w:kinsoku/>
              <w:wordWrap/>
              <w:overflowPunct/>
              <w:topLinePunct w:val="0"/>
              <w:autoSpaceDE/>
              <w:autoSpaceDN/>
              <w:bidi w:val="0"/>
              <w:adjustRightInd/>
              <w:snapToGrid/>
              <w:spacing w:after="0" w:line="320" w:lineRule="exact"/>
              <w:ind w:left="0" w:leftChars="0" w:firstLine="0" w:firstLineChars="0"/>
              <w:textAlignment w:val="auto"/>
              <w:rPr>
                <w:rFonts w:hint="default" w:ascii="Times New Roman" w:hAnsi="Times New Roman" w:eastAsia="仿宋_GB2312"/>
                <w:color w:val="000000"/>
                <w:sz w:val="24"/>
                <w:lang w:val="en-US" w:eastAsia="zh-CN"/>
              </w:rPr>
            </w:pPr>
            <w:r>
              <w:rPr>
                <w:rFonts w:hint="eastAsia" w:ascii="仿宋_GB2312" w:hAnsi="仿宋_GB2312" w:eastAsia="仿宋_GB2312" w:cs="仿宋_GB2312"/>
                <w:color w:val="000000"/>
                <w:kern w:val="2"/>
                <w:sz w:val="24"/>
                <w:szCs w:val="24"/>
                <w:lang w:val="en-US" w:eastAsia="zh-CN" w:bidi="ar-SA"/>
              </w:rPr>
              <w:t>3.</w:t>
            </w:r>
            <w:r>
              <w:rPr>
                <w:rFonts w:hint="eastAsia" w:ascii="Times New Roman" w:hAnsi="Times New Roman" w:eastAsia="仿宋_GB2312"/>
                <w:color w:val="000000"/>
                <w:sz w:val="24"/>
                <w:lang w:val="en-US" w:eastAsia="zh-CN"/>
              </w:rPr>
              <w:t>专项整治列入计划同步推进，一季度突出粉尘防爆专项检查、二季度突出有限空间专项检查、三季度突出危险化学品专项检查、四季度突出劳动密集企业专项检查。</w:t>
            </w:r>
          </w:p>
        </w:tc>
      </w:tr>
    </w:tbl>
    <w:p w14:paraId="15A57F07">
      <w:pPr>
        <w:keepNext w:val="0"/>
        <w:keepLines w:val="0"/>
        <w:pageBreakBefore w:val="0"/>
        <w:wordWrap/>
        <w:overflowPunct/>
        <w:bidi w:val="0"/>
        <w:adjustRightInd w:val="0"/>
        <w:snapToGrid w:val="0"/>
        <w:spacing w:line="600" w:lineRule="exact"/>
        <w:ind w:right="0"/>
        <w:outlineLvl w:val="1"/>
        <w:rPr>
          <w:rFonts w:hint="eastAsia" w:eastAsia="黑体"/>
          <w:sz w:val="32"/>
          <w:szCs w:val="32"/>
          <w:lang w:val="en-US" w:eastAsia="zh-CN"/>
        </w:rPr>
      </w:pPr>
      <w:r>
        <w:rPr>
          <w:rFonts w:eastAsia="仿宋_GB2312"/>
          <w:sz w:val="32"/>
          <w:szCs w:val="32"/>
          <w:lang w:val="zh-CN"/>
        </w:rPr>
        <w:br w:type="page"/>
      </w:r>
      <w:r>
        <w:rPr>
          <w:rFonts w:eastAsia="黑体"/>
          <w:sz w:val="32"/>
          <w:szCs w:val="32"/>
        </w:rPr>
        <w:t>附件</w:t>
      </w:r>
      <w:r>
        <w:rPr>
          <w:rFonts w:hint="eastAsia" w:eastAsia="黑体"/>
          <w:sz w:val="32"/>
          <w:szCs w:val="32"/>
          <w:lang w:val="en-US" w:eastAsia="zh-CN"/>
        </w:rPr>
        <w:t>3</w:t>
      </w:r>
    </w:p>
    <w:p w14:paraId="012D19B5">
      <w:pPr>
        <w:pStyle w:val="2"/>
        <w:rPr>
          <w:rFonts w:hint="default"/>
          <w:lang w:val="en-US" w:eastAsia="zh-CN"/>
        </w:rPr>
      </w:pPr>
    </w:p>
    <w:p w14:paraId="3EA47717">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2025年度安全培训机构行业</w:t>
      </w:r>
      <w:r>
        <w:rPr>
          <w:rFonts w:hint="eastAsia" w:ascii="方正小标宋简体" w:hAnsi="方正小标宋简体" w:eastAsia="方正小标宋简体" w:cs="方正小标宋简体"/>
          <w:sz w:val="44"/>
          <w:szCs w:val="44"/>
        </w:rPr>
        <w:t>监督检查计划</w:t>
      </w:r>
    </w:p>
    <w:p w14:paraId="2A689CCC">
      <w:pPr>
        <w:rPr>
          <w:rFonts w:hint="eastAsia"/>
        </w:rPr>
      </w:pPr>
    </w:p>
    <w:p w14:paraId="4F229F4E">
      <w:pPr>
        <w:rPr>
          <w:rFonts w:hint="eastAsia"/>
        </w:rPr>
      </w:pPr>
    </w:p>
    <w:p w14:paraId="049E4801">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全</w:t>
      </w:r>
      <w:r>
        <w:rPr>
          <w:rFonts w:hint="eastAsia" w:ascii="黑体" w:hAnsi="黑体" w:eastAsia="黑体" w:cs="黑体"/>
          <w:sz w:val="32"/>
          <w:szCs w:val="32"/>
          <w:lang w:eastAsia="zh-CN"/>
        </w:rPr>
        <w:t>区</w:t>
      </w:r>
      <w:r>
        <w:rPr>
          <w:rFonts w:hint="eastAsia" w:ascii="黑体" w:hAnsi="黑体" w:eastAsia="黑体" w:cs="黑体"/>
          <w:sz w:val="32"/>
          <w:szCs w:val="32"/>
        </w:rPr>
        <w:t>安全生产培训机构、考试点基本情况</w:t>
      </w:r>
    </w:p>
    <w:p w14:paraId="7B4F8728">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全</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目前共有“三项岗位人员”安全培训机构</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家</w:t>
      </w:r>
    </w:p>
    <w:p w14:paraId="2B17A0FB">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rPr>
        <w:t>二、执法检查对象</w:t>
      </w:r>
    </w:p>
    <w:p w14:paraId="7893F1C9">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第二季度对我区安全培训机构（长沙市湖湘职业技术培训学校）开展计划执法检查。</w:t>
      </w:r>
    </w:p>
    <w:p w14:paraId="565FDD3C">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rPr>
        <w:t>三、执法检查内容</w:t>
      </w:r>
    </w:p>
    <w:p w14:paraId="20EBE030">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1.不具备安全培训条件、安全生产培训管理制度不健全、专(兼)职师资力量不足、固定培训场地及教学设施不满足要求等不具备安全生产培训工作基本条件的情况。</w:t>
      </w:r>
    </w:p>
    <w:p w14:paraId="07D2851C">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w w:val="97"/>
          <w:sz w:val="32"/>
          <w:szCs w:val="32"/>
          <w:lang w:eastAsia="zh-CN"/>
        </w:rPr>
      </w:pPr>
      <w:r>
        <w:rPr>
          <w:rFonts w:hint="eastAsia" w:ascii="仿宋_GB2312" w:hAnsi="仿宋_GB2312" w:eastAsia="仿宋_GB2312" w:cs="仿宋_GB2312"/>
          <w:sz w:val="32"/>
          <w:szCs w:val="32"/>
          <w:lang w:eastAsia="zh-CN"/>
        </w:rPr>
        <w:t>2.未按照培训大纲规定组织教学培训，擅自改变教学内容、</w:t>
      </w:r>
      <w:r>
        <w:rPr>
          <w:rFonts w:hint="eastAsia" w:ascii="仿宋_GB2312" w:hAnsi="仿宋_GB2312" w:eastAsia="仿宋_GB2312" w:cs="仿宋_GB2312"/>
          <w:w w:val="97"/>
          <w:sz w:val="32"/>
          <w:szCs w:val="32"/>
          <w:lang w:eastAsia="zh-CN"/>
        </w:rPr>
        <w:t>压缩培训学时、模拟真题代替理论培训、实操实训流于形式等情况。</w:t>
      </w:r>
    </w:p>
    <w:p w14:paraId="521286E9">
      <w:pPr>
        <w:keepNext w:val="0"/>
        <w:keepLines w:val="0"/>
        <w:pageBreakBefore w:val="0"/>
        <w:widowControl/>
        <w:kinsoku w:val="0"/>
        <w:wordWrap/>
        <w:overflowPunct/>
        <w:topLinePunct w:val="0"/>
        <w:autoSpaceDE w:val="0"/>
        <w:autoSpaceDN w:val="0"/>
        <w:bidi w:val="0"/>
        <w:adjustRightInd w:val="0"/>
        <w:snapToGrid w:val="0"/>
        <w:spacing w:line="600" w:lineRule="exact"/>
        <w:ind w:firstLine="620" w:firstLineChars="200"/>
        <w:textAlignment w:val="baseline"/>
        <w:rPr>
          <w:rFonts w:hint="eastAsia" w:ascii="仿宋_GB2312" w:hAnsi="仿宋_GB2312" w:eastAsia="仿宋_GB2312" w:cs="仿宋_GB2312"/>
          <w:w w:val="97"/>
          <w:sz w:val="32"/>
          <w:szCs w:val="32"/>
          <w:lang w:eastAsia="zh-CN"/>
        </w:rPr>
      </w:pPr>
      <w:r>
        <w:rPr>
          <w:rFonts w:hint="eastAsia" w:ascii="仿宋_GB2312" w:hAnsi="仿宋_GB2312" w:eastAsia="仿宋_GB2312" w:cs="仿宋_GB2312"/>
          <w:w w:val="97"/>
          <w:sz w:val="32"/>
          <w:szCs w:val="32"/>
          <w:lang w:eastAsia="zh-CN"/>
        </w:rPr>
        <w:t>3.未建立安全生产培训档案、档案不规范甚至档案造假的情况。</w:t>
      </w:r>
    </w:p>
    <w:p w14:paraId="0AEEB4B2">
      <w:pPr>
        <w:keepNext w:val="0"/>
        <w:keepLines w:val="0"/>
        <w:pageBreakBefore w:val="0"/>
        <w:wordWrap/>
        <w:overflowPunct/>
        <w:bidi w:val="0"/>
        <w:adjustRightInd w:val="0"/>
        <w:snapToGrid w:val="0"/>
        <w:spacing w:line="600" w:lineRule="exact"/>
        <w:ind w:right="0"/>
        <w:rPr>
          <w:rFonts w:eastAsia="方正小标宋简体"/>
          <w:sz w:val="44"/>
          <w:szCs w:val="44"/>
        </w:rPr>
      </w:pPr>
    </w:p>
    <w:p w14:paraId="444DC91E">
      <w:pPr>
        <w:pStyle w:val="2"/>
        <w:rPr>
          <w:rFonts w:eastAsia="方正小标宋简体"/>
          <w:sz w:val="44"/>
          <w:szCs w:val="44"/>
        </w:rPr>
      </w:pPr>
    </w:p>
    <w:p w14:paraId="780488B3">
      <w:pPr>
        <w:pStyle w:val="2"/>
        <w:rPr>
          <w:rFonts w:eastAsia="方正小标宋简体"/>
          <w:sz w:val="44"/>
          <w:szCs w:val="44"/>
        </w:rPr>
      </w:pPr>
    </w:p>
    <w:p w14:paraId="25381EC7">
      <w:pPr>
        <w:pStyle w:val="2"/>
        <w:rPr>
          <w:rFonts w:eastAsia="方正小标宋简体"/>
          <w:sz w:val="44"/>
          <w:szCs w:val="44"/>
        </w:rPr>
      </w:pPr>
    </w:p>
    <w:p w14:paraId="06335F4E">
      <w:pPr>
        <w:keepNext w:val="0"/>
        <w:keepLines w:val="0"/>
        <w:pageBreakBefore w:val="0"/>
        <w:widowControl w:val="0"/>
        <w:kinsoku/>
        <w:wordWrap/>
        <w:overflowPunct/>
        <w:topLinePunct w:val="0"/>
        <w:autoSpaceDE/>
        <w:autoSpaceDN/>
        <w:bidi w:val="0"/>
        <w:adjustRightInd w:val="0"/>
        <w:snapToGrid w:val="0"/>
        <w:spacing w:line="600" w:lineRule="exact"/>
        <w:ind w:right="0"/>
        <w:jc w:val="both"/>
        <w:textAlignment w:val="auto"/>
        <w:rPr>
          <w:rFonts w:hint="eastAsia" w:eastAsia="黑体"/>
          <w:sz w:val="32"/>
          <w:szCs w:val="32"/>
          <w:lang w:val="en-US" w:eastAsia="zh-CN"/>
        </w:rPr>
      </w:pPr>
      <w:r>
        <w:rPr>
          <w:rFonts w:eastAsia="黑体"/>
          <w:sz w:val="32"/>
          <w:szCs w:val="32"/>
        </w:rPr>
        <w:t>附件</w:t>
      </w:r>
      <w:r>
        <w:rPr>
          <w:rFonts w:hint="eastAsia" w:eastAsia="黑体"/>
          <w:sz w:val="32"/>
          <w:szCs w:val="32"/>
          <w:lang w:val="en-US" w:eastAsia="zh-CN"/>
        </w:rPr>
        <w:t>4</w:t>
      </w:r>
    </w:p>
    <w:p w14:paraId="481B0BB6">
      <w:pPr>
        <w:pStyle w:val="2"/>
        <w:rPr>
          <w:rFonts w:hint="eastAsia"/>
          <w:lang w:val="en-US" w:eastAsia="zh-CN"/>
        </w:rPr>
      </w:pPr>
    </w:p>
    <w:p w14:paraId="06F398F7">
      <w:pPr>
        <w:keepNext w:val="0"/>
        <w:keepLines w:val="0"/>
        <w:pageBreakBefore w:val="0"/>
        <w:widowControl w:val="0"/>
        <w:kinsoku/>
        <w:wordWrap/>
        <w:overflowPunct/>
        <w:topLinePunct w:val="0"/>
        <w:autoSpaceDE/>
        <w:autoSpaceDN/>
        <w:bidi w:val="0"/>
        <w:adjustRightInd w:val="0"/>
        <w:snapToGrid w:val="0"/>
        <w:spacing w:line="600" w:lineRule="exact"/>
        <w:ind w:right="0"/>
        <w:jc w:val="center"/>
        <w:textAlignment w:val="auto"/>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t>2025年度执法监督计划</w:t>
      </w:r>
    </w:p>
    <w:p w14:paraId="2F72B30F">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firstLine="640" w:firstLineChars="200"/>
        <w:jc w:val="both"/>
        <w:textAlignment w:val="auto"/>
        <w:outlineLvl w:val="9"/>
        <w:rPr>
          <w:rFonts w:hint="default" w:ascii="Times New Roman" w:hAnsi="Times New Roman" w:eastAsia="黑体" w:cs="Times New Roman"/>
          <w:color w:val="000000"/>
          <w:sz w:val="32"/>
          <w:szCs w:val="32"/>
          <w:lang w:val="en-US" w:eastAsia="zh-CN"/>
        </w:rPr>
      </w:pPr>
    </w:p>
    <w:p w14:paraId="2FD74FAE">
      <w:pPr>
        <w:keepNext w:val="0"/>
        <w:keepLines w:val="0"/>
        <w:pageBreakBefore w:val="0"/>
        <w:widowControl w:val="0"/>
        <w:numPr>
          <w:ilvl w:val="0"/>
          <w:numId w:val="1"/>
        </w:numPr>
        <w:kinsoku/>
        <w:wordWrap/>
        <w:overflowPunct/>
        <w:topLinePunct w:val="0"/>
        <w:bidi w:val="0"/>
        <w:adjustRightInd w:val="0"/>
        <w:snapToGrid w:val="0"/>
        <w:spacing w:line="600" w:lineRule="exact"/>
        <w:ind w:firstLine="640" w:firstLineChars="200"/>
        <w:jc w:val="both"/>
        <w:textAlignment w:val="auto"/>
        <w:outlineLvl w:val="9"/>
        <w:rPr>
          <w:rFonts w:hint="default" w:ascii="Times New Roman" w:hAnsi="Times New Roman" w:eastAsia="黑体" w:cs="Times New Roman"/>
          <w:color w:val="000000"/>
          <w:sz w:val="32"/>
          <w:szCs w:val="32"/>
          <w:lang w:eastAsia="zh-CN"/>
        </w:rPr>
      </w:pPr>
      <w:r>
        <w:rPr>
          <w:rFonts w:hint="default" w:ascii="Times New Roman" w:hAnsi="Times New Roman" w:eastAsia="黑体" w:cs="Times New Roman"/>
          <w:color w:val="000000"/>
          <w:sz w:val="32"/>
          <w:szCs w:val="32"/>
          <w:lang w:eastAsia="zh-CN"/>
        </w:rPr>
        <w:t>执法监督主体</w:t>
      </w:r>
    </w:p>
    <w:p w14:paraId="0E665BD7">
      <w:pPr>
        <w:keepNext w:val="0"/>
        <w:keepLines w:val="0"/>
        <w:pageBreakBefore w:val="0"/>
        <w:widowControl w:val="0"/>
        <w:numPr>
          <w:ilvl w:val="0"/>
          <w:numId w:val="0"/>
        </w:numPr>
        <w:kinsoku/>
        <w:wordWrap/>
        <w:overflowPunct/>
        <w:topLinePunct w:val="0"/>
        <w:bidi w:val="0"/>
        <w:adjustRightInd w:val="0"/>
        <w:snapToGrid w:val="0"/>
        <w:spacing w:line="600" w:lineRule="exact"/>
        <w:ind w:firstLine="640" w:firstLineChars="200"/>
        <w:jc w:val="both"/>
        <w:textAlignment w:val="auto"/>
        <w:outlineLvl w:val="9"/>
        <w:rPr>
          <w:rFonts w:hint="default" w:ascii="Times New Roman" w:hAnsi="Times New Roman" w:eastAsia="仿宋_GB2312" w:cs="Times New Roman"/>
          <w:bCs/>
          <w:color w:val="000000"/>
          <w:sz w:val="32"/>
          <w:szCs w:val="32"/>
          <w:lang w:val="en-US" w:eastAsia="zh-CN"/>
        </w:rPr>
      </w:pPr>
      <w:r>
        <w:rPr>
          <w:rFonts w:hint="eastAsia" w:ascii="Times New Roman" w:hAnsi="Times New Roman" w:eastAsia="仿宋_GB2312" w:cs="Times New Roman"/>
          <w:bCs/>
          <w:color w:val="000000"/>
          <w:sz w:val="32"/>
          <w:szCs w:val="32"/>
          <w:lang w:val="en-US" w:eastAsia="zh-CN"/>
        </w:rPr>
        <w:t>局法规审批科</w:t>
      </w:r>
      <w:r>
        <w:rPr>
          <w:rFonts w:hint="default" w:ascii="Times New Roman" w:hAnsi="Times New Roman" w:eastAsia="仿宋_GB2312" w:cs="Times New Roman"/>
          <w:bCs/>
          <w:color w:val="000000"/>
          <w:sz w:val="32"/>
          <w:szCs w:val="32"/>
          <w:lang w:val="en-US" w:eastAsia="zh-CN"/>
        </w:rPr>
        <w:t>、各负有安全监管职责的</w:t>
      </w:r>
      <w:r>
        <w:rPr>
          <w:rFonts w:hint="eastAsia" w:ascii="Times New Roman" w:hAnsi="Times New Roman" w:eastAsia="仿宋_GB2312" w:cs="Times New Roman"/>
          <w:bCs/>
          <w:color w:val="000000"/>
          <w:sz w:val="32"/>
          <w:szCs w:val="32"/>
          <w:lang w:val="en-US" w:eastAsia="zh-CN"/>
        </w:rPr>
        <w:t>科</w:t>
      </w:r>
      <w:r>
        <w:rPr>
          <w:rFonts w:hint="default" w:ascii="Times New Roman" w:hAnsi="Times New Roman" w:eastAsia="仿宋_GB2312" w:cs="Times New Roman"/>
          <w:bCs/>
          <w:color w:val="000000"/>
          <w:sz w:val="32"/>
          <w:szCs w:val="32"/>
          <w:lang w:val="en-US" w:eastAsia="zh-CN"/>
        </w:rPr>
        <w:t>室。</w:t>
      </w:r>
    </w:p>
    <w:p w14:paraId="30C0AB88">
      <w:pPr>
        <w:keepNext w:val="0"/>
        <w:keepLines w:val="0"/>
        <w:pageBreakBefore w:val="0"/>
        <w:widowControl w:val="0"/>
        <w:numPr>
          <w:ilvl w:val="0"/>
          <w:numId w:val="1"/>
        </w:numPr>
        <w:kinsoku/>
        <w:wordWrap/>
        <w:overflowPunct/>
        <w:topLinePunct w:val="0"/>
        <w:bidi w:val="0"/>
        <w:adjustRightInd w:val="0"/>
        <w:snapToGrid w:val="0"/>
        <w:spacing w:line="600" w:lineRule="exact"/>
        <w:ind w:firstLine="640" w:firstLineChars="200"/>
        <w:jc w:val="both"/>
        <w:textAlignment w:val="auto"/>
        <w:outlineLvl w:val="9"/>
        <w:rPr>
          <w:rFonts w:hint="default" w:ascii="Times New Roman" w:hAnsi="Times New Roman" w:eastAsia="黑体" w:cs="Times New Roman"/>
          <w:color w:val="000000"/>
          <w:sz w:val="32"/>
          <w:szCs w:val="32"/>
          <w:lang w:eastAsia="zh-CN"/>
        </w:rPr>
      </w:pPr>
      <w:r>
        <w:rPr>
          <w:rFonts w:hint="default" w:ascii="Times New Roman" w:hAnsi="Times New Roman" w:eastAsia="黑体" w:cs="Times New Roman"/>
          <w:color w:val="000000"/>
          <w:sz w:val="32"/>
          <w:szCs w:val="32"/>
          <w:lang w:eastAsia="zh-CN"/>
        </w:rPr>
        <w:t>执法监督范围</w:t>
      </w:r>
    </w:p>
    <w:p w14:paraId="47A07030">
      <w:pPr>
        <w:keepNext w:val="0"/>
        <w:keepLines w:val="0"/>
        <w:pageBreakBefore w:val="0"/>
        <w:widowControl w:val="0"/>
        <w:kinsoku/>
        <w:wordWrap/>
        <w:overflowPunct/>
        <w:topLinePunct w:val="0"/>
        <w:bidi w:val="0"/>
        <w:snapToGrid w:val="0"/>
        <w:spacing w:line="600" w:lineRule="exact"/>
        <w:ind w:firstLine="640" w:firstLineChars="200"/>
        <w:jc w:val="both"/>
        <w:textAlignment w:val="auto"/>
        <w:outlineLvl w:val="9"/>
        <w:rPr>
          <w:rFonts w:hint="default" w:ascii="Times New Roman" w:hAnsi="Times New Roman" w:eastAsia="仿宋_GB2312" w:cs="Times New Roman"/>
          <w:bCs/>
          <w:color w:val="000000"/>
          <w:sz w:val="32"/>
          <w:szCs w:val="32"/>
          <w:lang w:eastAsia="zh-CN"/>
        </w:rPr>
      </w:pPr>
      <w:r>
        <w:rPr>
          <w:rFonts w:hint="eastAsia" w:eastAsia="仿宋_GB2312" w:cs="Times New Roman"/>
          <w:color w:val="000000"/>
          <w:sz w:val="32"/>
          <w:szCs w:val="32"/>
          <w:lang w:val="en-US" w:eastAsia="zh-CN"/>
        </w:rPr>
        <w:t>由局危化烟花科</w:t>
      </w:r>
      <w:r>
        <w:rPr>
          <w:rFonts w:hint="default" w:ascii="Times New Roman" w:hAnsi="Times New Roman" w:eastAsia="仿宋_GB2312" w:cs="Times New Roman"/>
          <w:bCs/>
          <w:color w:val="000000"/>
          <w:sz w:val="32"/>
          <w:szCs w:val="32"/>
          <w:lang w:eastAsia="zh-CN"/>
        </w:rPr>
        <w:t>牵头组织对局本级实施的行政许可进行执法监督</w:t>
      </w:r>
      <w:r>
        <w:rPr>
          <w:rFonts w:hint="eastAsia" w:eastAsia="仿宋_GB2312" w:cs="Times New Roman"/>
          <w:bCs/>
          <w:color w:val="000000"/>
          <w:sz w:val="32"/>
          <w:szCs w:val="32"/>
          <w:lang w:eastAsia="zh-CN"/>
        </w:rPr>
        <w:t>，由</w:t>
      </w:r>
      <w:r>
        <w:rPr>
          <w:rFonts w:hint="default" w:ascii="Times New Roman" w:hAnsi="Times New Roman" w:eastAsia="仿宋_GB2312" w:cs="Times New Roman"/>
          <w:bCs/>
          <w:color w:val="000000"/>
          <w:sz w:val="32"/>
          <w:szCs w:val="32"/>
          <w:lang w:eastAsia="zh-CN"/>
        </w:rPr>
        <w:t>局</w:t>
      </w:r>
      <w:r>
        <w:rPr>
          <w:rFonts w:hint="eastAsia" w:ascii="Times New Roman" w:hAnsi="Times New Roman" w:eastAsia="仿宋_GB2312" w:cs="Times New Roman"/>
          <w:bCs/>
          <w:color w:val="000000"/>
          <w:sz w:val="32"/>
          <w:szCs w:val="32"/>
          <w:lang w:val="en-US" w:eastAsia="zh-CN"/>
        </w:rPr>
        <w:t>法规审批科</w:t>
      </w:r>
      <w:r>
        <w:rPr>
          <w:rFonts w:hint="default" w:ascii="Times New Roman" w:hAnsi="Times New Roman" w:eastAsia="仿宋_GB2312" w:cs="Times New Roman"/>
          <w:bCs/>
          <w:color w:val="000000"/>
          <w:sz w:val="32"/>
          <w:szCs w:val="32"/>
          <w:lang w:eastAsia="zh-CN"/>
        </w:rPr>
        <w:t>和负有监管职责的</w:t>
      </w:r>
      <w:r>
        <w:rPr>
          <w:rFonts w:hint="eastAsia" w:ascii="Times New Roman" w:hAnsi="Times New Roman" w:eastAsia="仿宋_GB2312" w:cs="Times New Roman"/>
          <w:bCs/>
          <w:color w:val="000000"/>
          <w:sz w:val="32"/>
          <w:szCs w:val="32"/>
          <w:lang w:val="en-US" w:eastAsia="zh-CN"/>
        </w:rPr>
        <w:t>科</w:t>
      </w:r>
      <w:r>
        <w:rPr>
          <w:rFonts w:hint="default" w:ascii="Times New Roman" w:hAnsi="Times New Roman" w:eastAsia="仿宋_GB2312" w:cs="Times New Roman"/>
          <w:bCs/>
          <w:color w:val="000000"/>
          <w:sz w:val="32"/>
          <w:szCs w:val="32"/>
          <w:lang w:eastAsia="zh-CN"/>
        </w:rPr>
        <w:t>室对</w:t>
      </w:r>
      <w:r>
        <w:rPr>
          <w:rFonts w:hint="eastAsia" w:ascii="Times New Roman" w:hAnsi="Times New Roman" w:eastAsia="仿宋_GB2312" w:cs="Times New Roman"/>
          <w:bCs/>
          <w:color w:val="000000"/>
          <w:sz w:val="32"/>
          <w:szCs w:val="32"/>
          <w:lang w:val="en-US" w:eastAsia="zh-CN"/>
        </w:rPr>
        <w:t>局</w:t>
      </w:r>
      <w:r>
        <w:rPr>
          <w:rFonts w:hint="eastAsia" w:eastAsia="仿宋_GB2312" w:cs="Times New Roman"/>
          <w:bCs/>
          <w:color w:val="000000"/>
          <w:sz w:val="32"/>
          <w:szCs w:val="32"/>
          <w:lang w:val="en-US" w:eastAsia="zh-CN"/>
        </w:rPr>
        <w:t>本级</w:t>
      </w:r>
      <w:r>
        <w:rPr>
          <w:rFonts w:hint="eastAsia" w:ascii="Times New Roman" w:hAnsi="Times New Roman" w:eastAsia="仿宋_GB2312" w:cs="Times New Roman"/>
          <w:bCs/>
          <w:color w:val="000000"/>
          <w:sz w:val="32"/>
          <w:szCs w:val="32"/>
          <w:lang w:val="en-US" w:eastAsia="zh-CN"/>
        </w:rPr>
        <w:t>，各街镇、园区</w:t>
      </w:r>
      <w:r>
        <w:rPr>
          <w:rFonts w:hint="default" w:ascii="Times New Roman" w:hAnsi="Times New Roman" w:eastAsia="仿宋_GB2312" w:cs="Times New Roman"/>
          <w:bCs/>
          <w:color w:val="000000"/>
          <w:sz w:val="32"/>
          <w:szCs w:val="32"/>
          <w:lang w:eastAsia="zh-CN"/>
        </w:rPr>
        <w:t>实施的行政处罚实施监督、指导。</w:t>
      </w:r>
    </w:p>
    <w:p w14:paraId="6A69C2AA">
      <w:pPr>
        <w:keepNext w:val="0"/>
        <w:keepLines w:val="0"/>
        <w:pageBreakBefore w:val="0"/>
        <w:widowControl w:val="0"/>
        <w:numPr>
          <w:ilvl w:val="0"/>
          <w:numId w:val="0"/>
        </w:numPr>
        <w:kinsoku/>
        <w:wordWrap/>
        <w:overflowPunct/>
        <w:topLinePunct w:val="0"/>
        <w:bidi w:val="0"/>
        <w:snapToGrid w:val="0"/>
        <w:spacing w:line="600" w:lineRule="exact"/>
        <w:ind w:firstLine="640" w:firstLineChars="200"/>
        <w:jc w:val="both"/>
        <w:textAlignment w:val="auto"/>
        <w:outlineLvl w:val="9"/>
        <w:rPr>
          <w:rFonts w:hint="default" w:ascii="Times New Roman" w:hAnsi="Times New Roman" w:eastAsia="黑体" w:cs="Times New Roman"/>
          <w:color w:val="000000"/>
          <w:sz w:val="32"/>
          <w:szCs w:val="32"/>
          <w:lang w:eastAsia="zh-CN"/>
        </w:rPr>
      </w:pPr>
      <w:r>
        <w:rPr>
          <w:rFonts w:hint="eastAsia" w:ascii="Times New Roman" w:hAnsi="Times New Roman" w:eastAsia="黑体" w:cs="Times New Roman"/>
          <w:color w:val="000000"/>
          <w:sz w:val="32"/>
          <w:szCs w:val="32"/>
          <w:lang w:eastAsia="zh-CN"/>
        </w:rPr>
        <w:t>三、</w:t>
      </w:r>
      <w:r>
        <w:rPr>
          <w:rFonts w:hint="default" w:ascii="Times New Roman" w:hAnsi="Times New Roman" w:eastAsia="黑体" w:cs="Times New Roman"/>
          <w:color w:val="000000"/>
          <w:sz w:val="32"/>
          <w:szCs w:val="32"/>
          <w:lang w:eastAsia="zh-CN"/>
        </w:rPr>
        <w:t>执法监督方式</w:t>
      </w:r>
    </w:p>
    <w:p w14:paraId="2CBE8CE1">
      <w:pPr>
        <w:keepNext w:val="0"/>
        <w:keepLines w:val="0"/>
        <w:pageBreakBefore w:val="0"/>
        <w:widowControl w:val="0"/>
        <w:kinsoku/>
        <w:wordWrap/>
        <w:overflowPunct/>
        <w:topLinePunct w:val="0"/>
        <w:bidi w:val="0"/>
        <w:snapToGrid w:val="0"/>
        <w:spacing w:line="600" w:lineRule="exact"/>
        <w:ind w:firstLine="640" w:firstLineChars="200"/>
        <w:jc w:val="both"/>
        <w:textAlignment w:val="auto"/>
        <w:outlineLvl w:val="9"/>
        <w:rPr>
          <w:rFonts w:hint="eastAsia"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val="en-US" w:eastAsia="zh-CN"/>
        </w:rPr>
        <w:t>执法监督采取线上、线下抽查及现场核查的方式进行。</w:t>
      </w:r>
    </w:p>
    <w:p w14:paraId="7926B362">
      <w:pPr>
        <w:pStyle w:val="12"/>
        <w:keepNext w:val="0"/>
        <w:keepLines w:val="0"/>
        <w:pageBreakBefore w:val="0"/>
        <w:widowControl w:val="0"/>
        <w:numPr>
          <w:ilvl w:val="0"/>
          <w:numId w:val="0"/>
        </w:numPr>
        <w:kinsoku/>
        <w:wordWrap/>
        <w:overflowPunct/>
        <w:topLinePunct w:val="0"/>
        <w:bidi w:val="0"/>
        <w:spacing w:line="600" w:lineRule="exact"/>
        <w:ind w:firstLine="640" w:firstLineChars="200"/>
        <w:jc w:val="both"/>
        <w:textAlignment w:val="auto"/>
        <w:outlineLvl w:val="9"/>
        <w:rPr>
          <w:rFonts w:hint="eastAsia"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val="en-US" w:eastAsia="zh-CN"/>
        </w:rPr>
        <w:t>1.对局本级实施的行政处罚采取法制审核监督。</w:t>
      </w:r>
    </w:p>
    <w:p w14:paraId="62ECA76B">
      <w:pPr>
        <w:pStyle w:val="12"/>
        <w:keepNext w:val="0"/>
        <w:keepLines w:val="0"/>
        <w:pageBreakBefore w:val="0"/>
        <w:widowControl w:val="0"/>
        <w:numPr>
          <w:ilvl w:val="0"/>
          <w:numId w:val="0"/>
        </w:numPr>
        <w:kinsoku/>
        <w:wordWrap/>
        <w:overflowPunct/>
        <w:topLinePunct w:val="0"/>
        <w:bidi w:val="0"/>
        <w:spacing w:line="600" w:lineRule="exact"/>
        <w:ind w:firstLine="640" w:firstLineChars="200"/>
        <w:jc w:val="both"/>
        <w:textAlignment w:val="auto"/>
        <w:outlineLvl w:val="9"/>
        <w:rPr>
          <w:rFonts w:hint="eastAsia"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val="en-US" w:eastAsia="zh-CN"/>
        </w:rPr>
        <w:t>2.对街镇、园区实施的行政处罚通过《湖南省安全生产行政执法信息系统》随机线上抽取监督和现场监督。</w:t>
      </w:r>
    </w:p>
    <w:p w14:paraId="1A1A597F">
      <w:pPr>
        <w:pStyle w:val="12"/>
        <w:keepNext w:val="0"/>
        <w:keepLines w:val="0"/>
        <w:pageBreakBefore w:val="0"/>
        <w:widowControl w:val="0"/>
        <w:numPr>
          <w:ilvl w:val="0"/>
          <w:numId w:val="0"/>
        </w:numPr>
        <w:kinsoku/>
        <w:wordWrap/>
        <w:overflowPunct/>
        <w:topLinePunct w:val="0"/>
        <w:bidi w:val="0"/>
        <w:spacing w:line="600" w:lineRule="exact"/>
        <w:ind w:left="0" w:firstLine="640" w:firstLineChars="200"/>
        <w:jc w:val="both"/>
        <w:textAlignment w:val="auto"/>
        <w:outlineLvl w:val="9"/>
        <w:rPr>
          <w:rFonts w:hint="eastAsia"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val="en-US" w:eastAsia="zh-CN"/>
        </w:rPr>
        <w:t>3.对局本级实施的行政许可随机抽取现场监督。</w:t>
      </w:r>
    </w:p>
    <w:p w14:paraId="6002CEBC">
      <w:pPr>
        <w:pStyle w:val="12"/>
        <w:keepNext w:val="0"/>
        <w:keepLines w:val="0"/>
        <w:pageBreakBefore w:val="0"/>
        <w:widowControl w:val="0"/>
        <w:numPr>
          <w:ilvl w:val="0"/>
          <w:numId w:val="0"/>
        </w:numPr>
        <w:kinsoku/>
        <w:wordWrap/>
        <w:overflowPunct/>
        <w:topLinePunct w:val="0"/>
        <w:bidi w:val="0"/>
        <w:spacing w:line="600" w:lineRule="exact"/>
        <w:ind w:left="0" w:firstLine="640" w:firstLineChars="200"/>
        <w:jc w:val="both"/>
        <w:textAlignment w:val="auto"/>
        <w:outlineLvl w:val="9"/>
        <w:rPr>
          <w:rFonts w:hint="default" w:ascii="Times New Roman" w:hAnsi="Times New Roman" w:eastAsia="黑体" w:cs="Times New Roman"/>
          <w:color w:val="000000"/>
          <w:sz w:val="32"/>
          <w:szCs w:val="32"/>
          <w:lang w:eastAsia="zh-CN"/>
        </w:rPr>
      </w:pPr>
      <w:r>
        <w:rPr>
          <w:rFonts w:hint="default" w:ascii="Times New Roman" w:hAnsi="Times New Roman" w:eastAsia="黑体" w:cs="Times New Roman"/>
          <w:color w:val="000000"/>
          <w:sz w:val="32"/>
          <w:szCs w:val="32"/>
          <w:lang w:eastAsia="zh-CN"/>
        </w:rPr>
        <w:t>四、执法监督任务及时间</w:t>
      </w:r>
    </w:p>
    <w:p w14:paraId="29E32BBF">
      <w:pPr>
        <w:pStyle w:val="12"/>
        <w:keepNext w:val="0"/>
        <w:keepLines w:val="0"/>
        <w:pageBreakBefore w:val="0"/>
        <w:widowControl w:val="0"/>
        <w:numPr>
          <w:ilvl w:val="0"/>
          <w:numId w:val="0"/>
        </w:numPr>
        <w:kinsoku/>
        <w:wordWrap/>
        <w:overflowPunct/>
        <w:topLinePunct w:val="0"/>
        <w:bidi w:val="0"/>
        <w:spacing w:line="600" w:lineRule="exact"/>
        <w:ind w:left="0" w:firstLine="640" w:firstLineChars="200"/>
        <w:jc w:val="both"/>
        <w:textAlignment w:val="auto"/>
        <w:outlineLvl w:val="9"/>
        <w:rPr>
          <w:rFonts w:hint="eastAsia"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val="en-US" w:eastAsia="zh-CN"/>
        </w:rPr>
        <w:t>1.每半年线上执法监督行政处罚案件12个。</w:t>
      </w:r>
    </w:p>
    <w:p w14:paraId="0FF50D87">
      <w:pPr>
        <w:pStyle w:val="12"/>
        <w:keepNext w:val="0"/>
        <w:keepLines w:val="0"/>
        <w:pageBreakBefore w:val="0"/>
        <w:widowControl w:val="0"/>
        <w:numPr>
          <w:ilvl w:val="0"/>
          <w:numId w:val="0"/>
        </w:numPr>
        <w:kinsoku/>
        <w:wordWrap/>
        <w:overflowPunct/>
        <w:topLinePunct w:val="0"/>
        <w:bidi w:val="0"/>
        <w:spacing w:line="600" w:lineRule="exact"/>
        <w:ind w:left="0" w:firstLine="640" w:firstLineChars="200"/>
        <w:jc w:val="both"/>
        <w:textAlignment w:val="auto"/>
        <w:outlineLvl w:val="9"/>
        <w:rPr>
          <w:rFonts w:hint="eastAsia"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val="en-US" w:eastAsia="zh-CN"/>
        </w:rPr>
        <w:t>2.每半年对全区的行政处罚案件随机抽取3个现场监督。</w:t>
      </w:r>
    </w:p>
    <w:p w14:paraId="70E31F71">
      <w:pPr>
        <w:pStyle w:val="12"/>
        <w:keepNext w:val="0"/>
        <w:keepLines w:val="0"/>
        <w:pageBreakBefore w:val="0"/>
        <w:widowControl w:val="0"/>
        <w:numPr>
          <w:ilvl w:val="0"/>
          <w:numId w:val="0"/>
        </w:numPr>
        <w:kinsoku/>
        <w:wordWrap/>
        <w:overflowPunct/>
        <w:topLinePunct w:val="0"/>
        <w:bidi w:val="0"/>
        <w:spacing w:line="600" w:lineRule="exact"/>
        <w:ind w:left="0" w:firstLine="640" w:firstLineChars="200"/>
        <w:jc w:val="both"/>
        <w:textAlignment w:val="auto"/>
        <w:outlineLvl w:val="9"/>
        <w:rPr>
          <w:rFonts w:hint="eastAsia" w:ascii="仿宋_GB2312" w:eastAsia="仿宋_GB2312"/>
          <w:sz w:val="32"/>
          <w:szCs w:val="32"/>
        </w:rPr>
      </w:pPr>
      <w:r>
        <w:rPr>
          <w:rFonts w:hint="eastAsia" w:ascii="仿宋_GB2312" w:hAnsi="仿宋_GB2312" w:eastAsia="仿宋_GB2312" w:cs="仿宋_GB2312"/>
          <w:bCs/>
          <w:color w:val="000000"/>
          <w:sz w:val="32"/>
          <w:szCs w:val="32"/>
          <w:lang w:val="en-US" w:eastAsia="zh-CN"/>
        </w:rPr>
        <w:t>3.每半年对区本级实施的行政许可随机抽取3个现场监督。</w:t>
      </w:r>
    </w:p>
    <w:p w14:paraId="2CBD1400">
      <w:pPr>
        <w:keepNext w:val="0"/>
        <w:keepLines w:val="0"/>
        <w:pageBreakBefore w:val="0"/>
        <w:wordWrap/>
        <w:overflowPunct/>
        <w:bidi w:val="0"/>
        <w:adjustRightInd w:val="0"/>
        <w:snapToGrid w:val="0"/>
        <w:spacing w:line="600" w:lineRule="exact"/>
        <w:ind w:right="0"/>
        <w:rPr>
          <w:rFonts w:hint="eastAsia" w:ascii="仿宋_GB2312" w:eastAsia="仿宋_GB2312"/>
          <w:sz w:val="32"/>
          <w:szCs w:val="32"/>
        </w:rPr>
      </w:pPr>
    </w:p>
    <w:sectPr>
      <w:footerReference r:id="rId3" w:type="default"/>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5F1389">
    <w:pPr>
      <w:pStyle w:val="6"/>
      <w:jc w:val="center"/>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34035" cy="23050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34035" cy="230505"/>
                      </a:xfrm>
                      <a:prstGeom prst="rect">
                        <a:avLst/>
                      </a:prstGeom>
                      <a:noFill/>
                      <a:ln>
                        <a:noFill/>
                      </a:ln>
                    </wps:spPr>
                    <wps:txbx>
                      <w:txbxContent>
                        <w:p w14:paraId="4729DC8B">
                          <w:pPr>
                            <w:pStyle w:val="6"/>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25 -</w:t>
                          </w:r>
                          <w:r>
                            <w:rPr>
                              <w:rFonts w:ascii="宋体" w:hAnsi="宋体"/>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8.15pt;width:42.05pt;mso-position-horizontal:center;mso-position-horizontal-relative:margin;mso-wrap-style:none;z-index:251659264;mso-width-relative:page;mso-height-relative:page;" filled="f" stroked="f" coordsize="21600,21600" o:gfxdata="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PD2TH3RAAAAAwEAAA8AAAAAAAAAAQAgAAAAIgAAAGRycy9kb3du&#10;cmV2LnhtbFBLAQIUABQAAAAIAIdO4kAN51RKzQEAAJcDAAAOAAAAAAAAAAEAIAAAACABAABkcnMv&#10;ZTJvRG9jLnhtbFBLBQYAAAAABgAGAFkBAABfBQAAAAA=&#10;">
              <v:fill on="f" focussize="0,0"/>
              <v:stroke on="f"/>
              <v:imagedata o:title=""/>
              <o:lock v:ext="edit" aspectratio="f"/>
              <v:textbox inset="0mm,0mm,0mm,0mm" style="mso-fit-shape-to-text:t;">
                <w:txbxContent>
                  <w:p w14:paraId="4729DC8B">
                    <w:pPr>
                      <w:pStyle w:val="6"/>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25 -</w:t>
                    </w:r>
                    <w:r>
                      <w:rPr>
                        <w:rFonts w:ascii="宋体" w:hAnsi="宋体"/>
                        <w:sz w:val="28"/>
                        <w:szCs w:val="28"/>
                      </w:rPr>
                      <w:fldChar w:fldCharType="end"/>
                    </w:r>
                  </w:p>
                </w:txbxContent>
              </v:textbox>
            </v:shape>
          </w:pict>
        </mc:Fallback>
      </mc:AlternateContent>
    </w:r>
  </w:p>
  <w:p w14:paraId="668984ED">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3C7A6B"/>
    <w:multiLevelType w:val="singleLevel"/>
    <w:tmpl w:val="013C7A6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1NTYxOTBiZTI2NzVlOTU4MWQwNzk3OGRkOTBlM2EifQ=="/>
    <w:docVar w:name="KSO_WPS_MARK_KEY" w:val="cb4fe727-7d70-4d91-bff4-48c84f9ad48f"/>
  </w:docVars>
  <w:rsids>
    <w:rsidRoot w:val="6E485B64"/>
    <w:rsid w:val="016C71F3"/>
    <w:rsid w:val="033807B3"/>
    <w:rsid w:val="03390CBF"/>
    <w:rsid w:val="035E700F"/>
    <w:rsid w:val="03D41C67"/>
    <w:rsid w:val="03DB0227"/>
    <w:rsid w:val="04082AD7"/>
    <w:rsid w:val="05485881"/>
    <w:rsid w:val="058D376C"/>
    <w:rsid w:val="05AD774F"/>
    <w:rsid w:val="069B7542"/>
    <w:rsid w:val="06A8212D"/>
    <w:rsid w:val="072F6D5A"/>
    <w:rsid w:val="078416A7"/>
    <w:rsid w:val="07DE396A"/>
    <w:rsid w:val="093119FB"/>
    <w:rsid w:val="09BE6112"/>
    <w:rsid w:val="0A98612D"/>
    <w:rsid w:val="0B43192C"/>
    <w:rsid w:val="0B9A637D"/>
    <w:rsid w:val="0BE14E10"/>
    <w:rsid w:val="0C027DBE"/>
    <w:rsid w:val="0DE87C01"/>
    <w:rsid w:val="0EE83C31"/>
    <w:rsid w:val="0F256130"/>
    <w:rsid w:val="0FFA686B"/>
    <w:rsid w:val="10691FA3"/>
    <w:rsid w:val="107439CE"/>
    <w:rsid w:val="10C304B2"/>
    <w:rsid w:val="11C42733"/>
    <w:rsid w:val="121F5BBC"/>
    <w:rsid w:val="1276632F"/>
    <w:rsid w:val="12FD3411"/>
    <w:rsid w:val="1323348A"/>
    <w:rsid w:val="136A730B"/>
    <w:rsid w:val="13DB7B8B"/>
    <w:rsid w:val="13E84E0D"/>
    <w:rsid w:val="14490D68"/>
    <w:rsid w:val="14904B4F"/>
    <w:rsid w:val="15061679"/>
    <w:rsid w:val="15316332"/>
    <w:rsid w:val="1604342A"/>
    <w:rsid w:val="16873D30"/>
    <w:rsid w:val="16BF796D"/>
    <w:rsid w:val="186E2129"/>
    <w:rsid w:val="18934C0E"/>
    <w:rsid w:val="18E95D98"/>
    <w:rsid w:val="19930790"/>
    <w:rsid w:val="19EA0167"/>
    <w:rsid w:val="19EF71D3"/>
    <w:rsid w:val="1A7F56D1"/>
    <w:rsid w:val="1AAD55C1"/>
    <w:rsid w:val="1B0E4A1F"/>
    <w:rsid w:val="1D8F06E3"/>
    <w:rsid w:val="1DB90482"/>
    <w:rsid w:val="1EA10CFB"/>
    <w:rsid w:val="1F8C4FF9"/>
    <w:rsid w:val="202413B4"/>
    <w:rsid w:val="204D5FEA"/>
    <w:rsid w:val="21717AB6"/>
    <w:rsid w:val="226F2247"/>
    <w:rsid w:val="22736E11"/>
    <w:rsid w:val="22A81CD2"/>
    <w:rsid w:val="237C4C1C"/>
    <w:rsid w:val="23ED78C8"/>
    <w:rsid w:val="24546412"/>
    <w:rsid w:val="24644CFB"/>
    <w:rsid w:val="255D0A7D"/>
    <w:rsid w:val="26031625"/>
    <w:rsid w:val="26D07BC5"/>
    <w:rsid w:val="28A771C1"/>
    <w:rsid w:val="29A254BC"/>
    <w:rsid w:val="2A554DCA"/>
    <w:rsid w:val="2A7B7273"/>
    <w:rsid w:val="2A8645D2"/>
    <w:rsid w:val="2C155C0E"/>
    <w:rsid w:val="2C3B13EC"/>
    <w:rsid w:val="2D617FED"/>
    <w:rsid w:val="2E4A296C"/>
    <w:rsid w:val="2EBE7776"/>
    <w:rsid w:val="2FD37210"/>
    <w:rsid w:val="305515D0"/>
    <w:rsid w:val="326F6CC3"/>
    <w:rsid w:val="34DF325D"/>
    <w:rsid w:val="352847FA"/>
    <w:rsid w:val="3637733B"/>
    <w:rsid w:val="369754BA"/>
    <w:rsid w:val="380A4A95"/>
    <w:rsid w:val="38D1110E"/>
    <w:rsid w:val="39217BFC"/>
    <w:rsid w:val="3A0854A2"/>
    <w:rsid w:val="3A341738"/>
    <w:rsid w:val="3A7B2AAF"/>
    <w:rsid w:val="3A9832FF"/>
    <w:rsid w:val="3B971241"/>
    <w:rsid w:val="3C9C7C85"/>
    <w:rsid w:val="3CA44563"/>
    <w:rsid w:val="3DCF589D"/>
    <w:rsid w:val="3EBA43F3"/>
    <w:rsid w:val="3EC600F9"/>
    <w:rsid w:val="3ED951C1"/>
    <w:rsid w:val="3F7B3A95"/>
    <w:rsid w:val="3F9609BC"/>
    <w:rsid w:val="405D58C0"/>
    <w:rsid w:val="407728A4"/>
    <w:rsid w:val="4157061F"/>
    <w:rsid w:val="424E557E"/>
    <w:rsid w:val="43607C5E"/>
    <w:rsid w:val="43947908"/>
    <w:rsid w:val="448E0A65"/>
    <w:rsid w:val="44AF7E40"/>
    <w:rsid w:val="45231DDC"/>
    <w:rsid w:val="453273D9"/>
    <w:rsid w:val="455C6204"/>
    <w:rsid w:val="46050649"/>
    <w:rsid w:val="46523D01"/>
    <w:rsid w:val="46AA2F9F"/>
    <w:rsid w:val="47DB5B06"/>
    <w:rsid w:val="47E634ED"/>
    <w:rsid w:val="486024AF"/>
    <w:rsid w:val="4860753C"/>
    <w:rsid w:val="490177EE"/>
    <w:rsid w:val="495A0CAC"/>
    <w:rsid w:val="49764EE1"/>
    <w:rsid w:val="4AB368C6"/>
    <w:rsid w:val="4B7034CB"/>
    <w:rsid w:val="4B8E2E8F"/>
    <w:rsid w:val="4BC30D8B"/>
    <w:rsid w:val="4C59524B"/>
    <w:rsid w:val="4DB15D0D"/>
    <w:rsid w:val="4DC64B62"/>
    <w:rsid w:val="4E3240E9"/>
    <w:rsid w:val="4F2807A4"/>
    <w:rsid w:val="4F547732"/>
    <w:rsid w:val="4F5878FF"/>
    <w:rsid w:val="4FCC21D8"/>
    <w:rsid w:val="503A7B95"/>
    <w:rsid w:val="51805134"/>
    <w:rsid w:val="52417730"/>
    <w:rsid w:val="532F6D06"/>
    <w:rsid w:val="538C23AA"/>
    <w:rsid w:val="54140080"/>
    <w:rsid w:val="55785552"/>
    <w:rsid w:val="55D36215"/>
    <w:rsid w:val="566201DA"/>
    <w:rsid w:val="56FE4611"/>
    <w:rsid w:val="587358E6"/>
    <w:rsid w:val="5A98178C"/>
    <w:rsid w:val="5ACA220E"/>
    <w:rsid w:val="5BDB6900"/>
    <w:rsid w:val="5C237A35"/>
    <w:rsid w:val="5C527239"/>
    <w:rsid w:val="5C9F04A0"/>
    <w:rsid w:val="5CB53E45"/>
    <w:rsid w:val="5CDA369A"/>
    <w:rsid w:val="5D702DF1"/>
    <w:rsid w:val="5DCF3578"/>
    <w:rsid w:val="5EBA10B2"/>
    <w:rsid w:val="5EFFB21C"/>
    <w:rsid w:val="5F3A561C"/>
    <w:rsid w:val="5FF23595"/>
    <w:rsid w:val="61F31CBF"/>
    <w:rsid w:val="626C3AD2"/>
    <w:rsid w:val="62C73D55"/>
    <w:rsid w:val="62DD052C"/>
    <w:rsid w:val="633F6AEC"/>
    <w:rsid w:val="635627CB"/>
    <w:rsid w:val="63B5186D"/>
    <w:rsid w:val="64826F27"/>
    <w:rsid w:val="64970BAF"/>
    <w:rsid w:val="64A85263"/>
    <w:rsid w:val="64E9765C"/>
    <w:rsid w:val="650163AC"/>
    <w:rsid w:val="65A57445"/>
    <w:rsid w:val="67270C30"/>
    <w:rsid w:val="68851373"/>
    <w:rsid w:val="69335A33"/>
    <w:rsid w:val="69B83AA1"/>
    <w:rsid w:val="6AF46DC8"/>
    <w:rsid w:val="6B713F07"/>
    <w:rsid w:val="6B827EC3"/>
    <w:rsid w:val="6BF41EB7"/>
    <w:rsid w:val="6C535B7B"/>
    <w:rsid w:val="6DF00591"/>
    <w:rsid w:val="6E485B64"/>
    <w:rsid w:val="6F1D0A3B"/>
    <w:rsid w:val="6F3FB4DE"/>
    <w:rsid w:val="7060454A"/>
    <w:rsid w:val="71276C3E"/>
    <w:rsid w:val="71816E6E"/>
    <w:rsid w:val="71ED62B2"/>
    <w:rsid w:val="73532145"/>
    <w:rsid w:val="73AB3D2F"/>
    <w:rsid w:val="74A92BBC"/>
    <w:rsid w:val="75296523"/>
    <w:rsid w:val="758B206A"/>
    <w:rsid w:val="762750AA"/>
    <w:rsid w:val="765850F8"/>
    <w:rsid w:val="771340C5"/>
    <w:rsid w:val="774E1B79"/>
    <w:rsid w:val="77B3640B"/>
    <w:rsid w:val="77F16932"/>
    <w:rsid w:val="77FFB89E"/>
    <w:rsid w:val="78980554"/>
    <w:rsid w:val="7A443BB4"/>
    <w:rsid w:val="7ABC3113"/>
    <w:rsid w:val="7AC34054"/>
    <w:rsid w:val="7AFB0925"/>
    <w:rsid w:val="7D2A2168"/>
    <w:rsid w:val="7F55F178"/>
    <w:rsid w:val="C65D513F"/>
    <w:rsid w:val="FFB787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1"/>
    <w:pPr>
      <w:ind w:left="1376"/>
      <w:outlineLvl w:val="1"/>
    </w:pPr>
    <w:rPr>
      <w:rFonts w:ascii="宋体" w:hAnsi="宋体" w:eastAsia="宋体" w:cs="宋体"/>
      <w:sz w:val="44"/>
      <w:szCs w:val="44"/>
      <w:lang w:val="zh-CN" w:eastAsia="zh-CN" w:bidi="zh-CN"/>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664"/>
    </w:pPr>
  </w:style>
  <w:style w:type="paragraph" w:styleId="3">
    <w:name w:val="Body Text"/>
    <w:basedOn w:val="1"/>
    <w:next w:val="1"/>
    <w:qFormat/>
    <w:uiPriority w:val="99"/>
    <w:pPr>
      <w:spacing w:after="120"/>
    </w:pPr>
  </w:style>
  <w:style w:type="paragraph" w:styleId="5">
    <w:name w:val="Body Text Indent"/>
    <w:basedOn w:val="1"/>
    <w:unhideWhenUsed/>
    <w:qFormat/>
    <w:uiPriority w:val="99"/>
    <w:pPr>
      <w:spacing w:after="120"/>
      <w:ind w:left="420" w:leftChars="20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qFormat/>
    <w:uiPriority w:val="0"/>
    <w:pPr>
      <w:widowControl w:val="0"/>
      <w:spacing w:before="100" w:beforeAutospacing="1" w:after="100" w:afterAutospacing="1"/>
      <w:ind w:left="0" w:right="0"/>
      <w:jc w:val="left"/>
    </w:pPr>
    <w:rPr>
      <w:rFonts w:ascii="Calibri" w:hAnsi="Calibri" w:eastAsia="宋体" w:cs="Times New Roman"/>
      <w:kern w:val="0"/>
      <w:sz w:val="24"/>
      <w:szCs w:val="24"/>
      <w:lang w:val="en-US" w:eastAsia="zh-CN" w:bidi="ar"/>
    </w:rPr>
  </w:style>
  <w:style w:type="paragraph" w:styleId="8">
    <w:name w:val="Body Text First Indent 2"/>
    <w:basedOn w:val="5"/>
    <w:next w:val="1"/>
    <w:qFormat/>
    <w:uiPriority w:val="99"/>
    <w:pPr>
      <w:ind w:firstLine="420" w:firstLineChars="200"/>
    </w:pPr>
    <w:rPr>
      <w:sz w:val="32"/>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next w:val="1"/>
    <w:qFormat/>
    <w:uiPriority w:val="0"/>
    <w:pPr>
      <w:widowControl w:val="0"/>
      <w:autoSpaceDE w:val="0"/>
      <w:autoSpaceDN w:val="0"/>
      <w:adjustRightInd w:val="0"/>
    </w:pPr>
    <w:rPr>
      <w:rFonts w:ascii="方正小标宋简体" w:hAnsi="方正小标宋简体" w:eastAsia="方正小标宋简体" w:cs="Times New Roman"/>
      <w:color w:val="000000"/>
      <w:sz w:val="24"/>
      <w:szCs w:val="22"/>
      <w:lang w:val="en-US" w:eastAsia="zh-CN" w:bidi="ar-SA"/>
    </w:rPr>
  </w:style>
  <w:style w:type="paragraph" w:customStyle="1" w:styleId="13">
    <w:name w:val="Heading 2"/>
    <w:basedOn w:val="1"/>
    <w:qFormat/>
    <w:uiPriority w:val="1"/>
    <w:pPr>
      <w:autoSpaceDE w:val="0"/>
      <w:autoSpaceDN w:val="0"/>
      <w:spacing w:line="477" w:lineRule="exact"/>
      <w:ind w:left="747"/>
      <w:jc w:val="left"/>
      <w:outlineLvl w:val="2"/>
    </w:pPr>
    <w:rPr>
      <w:rFonts w:ascii="微软雅黑" w:hAnsi="微软雅黑" w:eastAsia="微软雅黑" w:cs="微软雅黑"/>
      <w:b/>
      <w:bCs/>
      <w:kern w:val="0"/>
      <w:sz w:val="32"/>
      <w:szCs w:val="32"/>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9159</Words>
  <Characters>9390</Characters>
  <Lines>0</Lines>
  <Paragraphs>0</Paragraphs>
  <TotalTime>30</TotalTime>
  <ScaleCrop>false</ScaleCrop>
  <LinksUpToDate>false</LinksUpToDate>
  <CharactersWithSpaces>9447</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2024-12-18T20:41:00Z</dcterms:created>
  <dc:creator>小五哥</dc:creator>
  <cp:lastModifiedBy>谭励励</cp:lastModifiedBy>
  <cp:lastPrinted>2025-02-27T14:53:00Z</cp:lastPrinted>
  <dcterms:modified xsi:type="dcterms:W3CDTF">2025-03-18T15:05:11Z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1E9A843416C44045803D14BAC03D8D9B_13</vt:lpwstr>
  </property>
</Properties>
</file>